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о-смене-основного-вида-деятельности"/>
    <w:p>
      <w:pPr>
        <w:pStyle w:val="Heading2"/>
      </w:pPr>
      <w:r>
        <w:t xml:space="preserve">о смене основного вида деятельности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Единственный участник общества с ограниченной ответственностью «________________», владеющий ____ % уставного капитала, рассмотрел вопрос о смене основного вида деятельности общества.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РЕШИЛ:</w:t>
      </w:r>
      <w:r>
        <w:t xml:space="preserve"> </w:t>
      </w:r>
      <w:r>
        <w:t xml:space="preserve">1. ____________________________________________________________________________</w:t>
      </w:r>
      <w:r>
        <w:t xml:space="preserve"> </w:t>
      </w:r>
      <w:r>
        <w:t xml:space="preserve">2. ____________________________________________________________________________</w:t>
      </w:r>
      <w:r>
        <w:t xml:space="preserve"> </w:t>
      </w:r>
      <w:r>
        <w:t xml:space="preserve">3. ____________________________________________________________________________</w:t>
      </w:r>
    </w:p>
    <w:p>
      <w:pPr>
        <w:pStyle w:val="BodyText"/>
      </w:pPr>
      <w:r>
        <w:t xml:space="preserve">Решение вступает в силу со дня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2026-11-07T20:47:23Z</dcterms:created>
  <dcterms:modified xsi:type="dcterms:W3CDTF">2026-11-07T20:47:23Z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