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от-16-ноября-2026-г."/>
    <w:p>
      <w:pPr>
        <w:pStyle w:val="Heading2"/>
      </w:pPr>
      <w:r>
        <w:t xml:space="preserve">№ 14 от 16 ноября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Поставщик обязуется передать покупателю канцелярские товары по спецификации (приложение № 1), а покупатель — принять и оплатить их.</w:t>
      </w:r>
    </w:p>
    <w:p>
      <w:pPr>
        <w:pStyle w:val="BodyText"/>
      </w:pPr>
      <w:r>
        <w:t xml:space="preserve">Оплата — в течение 10 рабочих дней с даты поставки на основании счёта и универсального передаточного документа.</w:t>
      </w:r>
    </w:p>
    <w:p>
      <w:pPr>
        <w:pStyle w:val="BodyText"/>
      </w:pPr>
      <w:r>
        <w:t xml:space="preserve">Договор вступает в силу с даты подписания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2026-11-03T20:37:21Z</dcterms:created>
  <dcterms:modified xsi:type="dcterms:W3CDTF">2026-11-03T20:37:21Z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