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Расходный кассовый ордер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Документ на выдачу: ______________________________</w:t>
      </w:r>
    </w:p>
    <w:bookmarkStart w:id="10" w:name="расходный-кассовый-ордер"/>
    <w:p>
      <w:pPr>
        <w:pStyle w:val="Heading1"/>
      </w:pPr>
      <w:r>
        <w:t xml:space="preserve">Расходный кассовый ордер</w:t>
      </w:r>
    </w:p>
    <w:bookmarkStart w:id="9" w:name="форма-по-окуд-0310002"/>
    <w:p>
      <w:pPr>
        <w:pStyle w:val="Heading2"/>
      </w:pPr>
      <w:r>
        <w:t xml:space="preserve">форма по ОКУД 0310002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Выдать: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Сумма: ______________________________________________________________ прописью</w:t>
      </w:r>
    </w:p>
    <w:p>
      <w:pPr>
        <w:pStyle w:val="BodyText"/>
      </w:pPr>
      <w:r>
        <w:t xml:space="preserve">Основание: 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Расходный кассовый ордер</dc:title>
  <dc:creator/>
  <dc:language>ru</dc:language>
  <cp:keywords/>
  <dcterms:created xsi:type="dcterms:W3CDTF">2026-11-07T20:47:10Z</dcterms:created>
  <dcterms:modified xsi:type="dcterms:W3CDTF">2026-11-07T20:47:10Z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