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Протокол общего собрания акционеров</w:t>
      </w:r>
    </w:p>
    <w:p>
      <w:pPr>
        <w:pStyle w:val="FirstParagraph"/>
      </w:pPr>
      <w:r>
        <w:t xml:space="preserve">Акционерное общество «Северный мост»</w:t>
      </w:r>
    </w:p>
    <w:p>
      <w:pPr>
        <w:pStyle w:val="BodyText"/>
      </w:pPr>
      <w:r>
        <w:t xml:space="preserve">Место нахождения: 190000, г. Санкт-Петербург, ул. Речная, д. 12, пом. 4</w:t>
      </w:r>
    </w:p>
    <w:p>
      <w:pPr>
        <w:pStyle w:val="BodyText"/>
      </w:pPr>
      <w:r>
        <w:t xml:space="preserve">Вид собрания: годовое</w:t>
      </w:r>
    </w:p>
    <w:p>
      <w:pPr>
        <w:pStyle w:val="BodyText"/>
      </w:pPr>
      <w:r>
        <w:t xml:space="preserve">Форма проведения: собрание (совместное присутствие)</w:t>
      </w:r>
    </w:p>
    <w:bookmarkStart w:id="10" w:name="протокол-общего-собрания-акционеров"/>
    <w:p>
      <w:pPr>
        <w:pStyle w:val="Heading1"/>
      </w:pPr>
      <w:r>
        <w:t xml:space="preserve">Протокол общего собрания акционеров</w:t>
      </w:r>
    </w:p>
    <w:bookmarkStart w:id="9" w:name="годового-общего-собрания-акционеров"/>
    <w:p>
      <w:pPr>
        <w:pStyle w:val="Heading2"/>
      </w:pPr>
      <w:r>
        <w:t xml:space="preserve">годового общего собрания акционеров</w:t>
      </w:r>
    </w:p>
    <w:p>
      <w:pPr>
        <w:pStyle w:val="FirstParagraph"/>
      </w:pPr>
      <w:r>
        <w:t xml:space="preserve">16 июня 2026 г. № 1</w:t>
      </w:r>
    </w:p>
    <w:p>
      <w:pPr>
        <w:pStyle w:val="BodyText"/>
      </w:pPr>
      <w:r>
        <w:t xml:space="preserve">Дата определения (фиксации) лиц, имеющих право на участие в общем собрании: 25 мая 2026 года.</w:t>
      </w:r>
    </w:p>
    <w:p>
      <w:pPr>
        <w:pStyle w:val="BodyText"/>
      </w:pPr>
      <w:r>
        <w:t xml:space="preserve">Дата проведения общего собрания: 16 июня 2026 года. Место проведения: 190000, г. Санкт-Петербург, ул. Речная, д. 12, пом. 4. Время начала регистрации участников: 09:30. Время открытия собрания: 10:00.</w:t>
      </w:r>
    </w:p>
    <w:p>
      <w:pPr>
        <w:pStyle w:val="BodyText"/>
      </w:pPr>
      <w:r>
        <w:t xml:space="preserve">В собрании приняли участие акционеры, владеющие 8 400 голосующими акциями, что составляет 84 % от общего числа голосующих акций общества. Кворум для принятия решений по всем вопросам повестки дня имеется.</w:t>
      </w:r>
    </w:p>
    <w:p>
      <w:pPr>
        <w:pStyle w:val="BodyText"/>
      </w:pPr>
      <w:r>
        <w:t xml:space="preserve">Председатель собрания — Е. А. Соколов, секретарь собрания — М. И. Гринёва. Счётная комиссия избрана в составе трёх человек.</w:t>
      </w:r>
    </w:p>
    <w:p>
      <w:pPr>
        <w:pStyle w:val="BodyText"/>
      </w:pPr>
      <w:r>
        <w:t xml:space="preserve">Повестка дня: 1. Утверждение годового отчёта общества за 2025 год. 2. Утверждение годовой бухгалтерской отчётности за 2025 год. 3. Распределение прибыли и убытков по результатам 2025 года, выплата дивидендов. 4. Избрание совета директоров. 5. Избрание ревизионной комиссии.</w:t>
      </w:r>
    </w:p>
    <w:p>
      <w:pPr>
        <w:pStyle w:val="BodyText"/>
      </w:pPr>
      <w:r>
        <w:t xml:space="preserve">По первому вопросу слушали генерального директора Е. А. Соколова. Голосовали: «за» — 8 400, «против» — 0, «воздержались» — 0. Решение принято.</w:t>
      </w:r>
    </w:p>
    <w:p>
      <w:pPr>
        <w:pStyle w:val="BodyText"/>
      </w:pPr>
      <w:r>
        <w:t xml:space="preserve">По третьему вопросу решили направить на выплату дивидендов 12 000 000 рублей, что составляет 1 428,57 рубля на одну обыкновенную акцию. Дату выплаты определить не позднее 60 дней со дня принятия решения о выплате.</w:t>
      </w:r>
    </w:p>
    <w:p>
      <w:pPr>
        <w:pStyle w:val="BodyText"/>
      </w:pPr>
      <w:r>
        <w:t xml:space="preserve">Приложения: 1. Протокол об итогах голосования — на 4 л. в 1 экз. 2. Журнал регистрации участников собрания — на 2 л. в 1 экз. 3. Бюллетени для голосования — на 9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собрания</w:t>
            </w:r>
          </w:p>
          <w:p>
            <w:pPr>
              <w:pStyle w:val="BodyText"/>
            </w:pPr>
            <w:r>
              <w:t xml:space="preserve">Е. А. Соколов</w:t>
            </w:r>
          </w:p>
          <w:p>
            <w:pPr>
              <w:pStyle w:val="BodyText"/>
            </w:pPr>
            <w:r>
              <w:t xml:space="preserve">____________ / ____________________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Секретарь собрания</w:t>
            </w:r>
          </w:p>
          <w:p>
            <w:pPr>
              <w:pStyle w:val="BodyText"/>
            </w:pPr>
            <w:r>
              <w:t xml:space="preserve">М. И. Гринёва</w:t>
            </w:r>
          </w:p>
          <w:p>
            <w:pPr>
              <w:pStyle w:val="BodyText"/>
            </w:pPr>
            <w:r>
              <w:t xml:space="preserve">____________ / ____________________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общего собрания акционеров</dc:title>
  <dc:creator/>
  <dc:language>ru</dc:language>
  <cp:keywords/>
  <dcterms:created xsi:type="dcterms:W3CDTF">2026-11-07T06:57:44Z</dcterms:created>
  <dcterms:modified xsi:type="dcterms:W3CDTF">2026-11-07T06:57:44Z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