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директора ООО «Вектор»</w:t>
      </w:r>
    </w:p>
    <w:p>
      <w:pPr>
        <w:pStyle w:val="BodyText"/>
      </w:pPr>
      <w:r>
        <w:t xml:space="preserve">А. С. Смирнова</w:t>
      </w:r>
    </w:p>
    <w:bookmarkStart w:id="10" w:name="письмо"/>
    <w:p>
      <w:pPr>
        <w:pStyle w:val="Heading1"/>
      </w:pPr>
      <w:r>
        <w:t xml:space="preserve">Письмо</w:t>
      </w:r>
    </w:p>
    <w:bookmarkStart w:id="9" w:name="X5c3aea7a4305eb6e458fa2cc95766906626b8c2"/>
    <w:p>
      <w:pPr>
        <w:pStyle w:val="Heading2"/>
      </w:pPr>
      <w:r>
        <w:t xml:space="preserve">о даче разъяснений по вопросам применения документа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«Вектор» получило от ООО «Ромашка» техническое задание на поставку оборудования от 2 ноября 2026 г. № 118. В пункте 4.2 технического задания указан класс точности приборов, а в приложении 1 — другой.</w:t>
      </w:r>
    </w:p>
    <w:p>
      <w:pPr>
        <w:pStyle w:val="BodyText"/>
      </w:pPr>
      <w:r>
        <w:t xml:space="preserve">Прошу дать разъяснения по следующим вопросам: 1. Какой класс точности считать обязательным — из пункта 4.2 или из приложения 1? 2. Можно ли поставить приборы с классом точности выше указанного без изменения цены? 3. До какой даты принимаются уточнения к техническому заданию?</w:t>
      </w:r>
    </w:p>
    <w:p>
      <w:pPr>
        <w:pStyle w:val="BodyText"/>
      </w:pPr>
      <w:r>
        <w:t xml:space="preserve">Ответ прошу направить на адрес электронной почты, указанный в реквизитах письма, до 25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</dc:title>
  <dc:creator/>
  <dc:language>ru</dc:language>
  <cp:keywords/>
  <dcterms:created xsi:type="dcterms:W3CDTF">2026-11-07T20:46:47Z</dcterms:created>
  <dcterms:modified xsi:type="dcterms:W3CDTF">2026-11-07T20:46:47Z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