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Программа мониторинга подземных вод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Главный инженер ООО «Недра-Ресурс»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12 января 2027 г.</w:t>
      </w:r>
    </w:p>
    <w:bookmarkStart w:id="10" w:name="программа-мониторинга-подземных-вод"/>
    <w:p>
      <w:pPr>
        <w:pStyle w:val="Heading1"/>
      </w:pPr>
      <w:r>
        <w:t xml:space="preserve">Программа мониторинга подземных вод</w:t>
      </w:r>
    </w:p>
    <w:bookmarkStart w:id="9" w:name="X714a3624973b96cc87d5787f943b85a747ce119"/>
    <w:p>
      <w:pPr>
        <w:pStyle w:val="Heading2"/>
      </w:pPr>
      <w:r>
        <w:t xml:space="preserve">на участке недр по лицензии на пользование недрами</w:t>
      </w:r>
    </w:p>
    <w:p>
      <w:pPr>
        <w:pStyle w:val="FirstParagraph"/>
      </w:pPr>
      <w:r>
        <w:t xml:space="preserve">2027 г.</w:t>
      </w:r>
    </w:p>
    <w:p>
      <w:pPr>
        <w:pStyle w:val="BodyText"/>
      </w:pPr>
      <w:r>
        <w:t xml:space="preserve">1. Основание работ. Лицензия на пользование недрами с целевым назначением — разведка и добыча подземных вод для хозяйственно-питьевого водоснабжения. Программа выполняется в границах горного отвода и в зоне возможного влияния водозабора.</w:t>
      </w:r>
    </w:p>
    <w:p>
      <w:pPr>
        <w:pStyle w:val="BodyText"/>
      </w:pPr>
      <w:r>
        <w:t xml:space="preserve">2. Цель мониторинга. Наблюдение за уровнем и качеством подземных вод, оценка влияния водозабора на смежные водоносные горизонты и поверхностные водные объекты, своевременное выявление загрязнения и подтопления.</w:t>
      </w:r>
    </w:p>
    <w:p>
      <w:pPr>
        <w:pStyle w:val="BodyText"/>
      </w:pPr>
      <w:r>
        <w:t xml:space="preserve">3. Сеть наблюдений. Наблюдательные скважины на водоносный горизонт, смежные горизонты и зону аэрации, гидропосты на ближайшем водотоке, точки отбора проб из эксплуатационных скважин. Каждому пункту присвоен номер, указаны координаты и глубина.</w:t>
      </w:r>
    </w:p>
    <w:p>
      <w:pPr>
        <w:pStyle w:val="BodyText"/>
      </w:pPr>
      <w:r>
        <w:t xml:space="preserve">4. Состав и периодичность наблюдений. Уровень — ежемесячно в межень и еженедельно в паводок; температура и электропроводность — при каждом замере уровня; отбор проб на химический анализ — один раз в квартал, в паводок — дополнительно; дебит и динамический уровень эксплуатационных скважин — при каждом замере.</w:t>
      </w:r>
    </w:p>
    <w:p>
      <w:pPr>
        <w:pStyle w:val="BodyText"/>
      </w:pPr>
      <w:r>
        <w:t xml:space="preserve">5. Методы и приборы. Замеры уровня — электроуровнемером с точностью до 1 см, отбор проб — по ГОСТ Р 51592, хранение и транспортировка проб — по тому же стандарту. Приборы проходят поверку в установленные сроки.</w:t>
      </w:r>
    </w:p>
    <w:p>
      <w:pPr>
        <w:pStyle w:val="BodyText"/>
      </w:pPr>
      <w:r>
        <w:t xml:space="preserve">6. Обработка и хранение данных. Журналы наблюдений ведутся на каждом пункте, результаты переносятся в электронную базу ежемесячно. Программа предусматривает построение графиков уровня, карт гидроизогипс и сравнение с фоном.</w:t>
      </w:r>
    </w:p>
    <w:p>
      <w:pPr>
        <w:pStyle w:val="BodyText"/>
      </w:pPr>
      <w:r>
        <w:t xml:space="preserve">7. Отчётность. Ежегодный отчёт о результатах мониторинга с оценкой состояния подземных вод и предложениями по корректировке сети наблюдений. Отчёт хранится у недропользователя и представляется в уполномоченный орган в порядке, установленном лицензией и условиями пользования недрами.</w:t>
      </w:r>
    </w:p>
    <w:p>
      <w:pPr>
        <w:pStyle w:val="BodyText"/>
      </w:pPr>
      <w:r>
        <w:t xml:space="preserve">8. Ответственные. Начальник участка отвечает за проведение наблюдений, инженер-гидрогеолог — за обработку данных и подготовку отчёта.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Инженер-гидрогеолог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мониторинга подземных вод</dc:title>
  <dc:creator/>
  <dc:language>ru</dc:language>
  <cp:keywords/>
  <dcterms:created xsi:type="dcterms:W3CDTF">2026-11-07T20:46:42Z</dcterms:created>
  <dcterms:modified xsi:type="dcterms:W3CDTF">2026-11-07T20:46:42Z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