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Прогнозный баланс на 2027–2029 годы</w:t>
      </w:r>
    </w:p>
    <w:p>
      <w:pPr>
        <w:pStyle w:val="FirstParagraph"/>
      </w:pPr>
      <w:r>
        <w:t xml:space="preserve">Утверждён приказом от 20 ноября 2026 г. № 57</w:t>
      </w:r>
    </w:p>
    <w:p>
      <w:pPr>
        <w:pStyle w:val="BodyText"/>
      </w:pPr>
      <w:r>
        <w:t xml:space="preserve">Ответственный: финансовый директор А. С. Морозова</w:t>
      </w:r>
    </w:p>
    <w:bookmarkStart w:id="10" w:name="прогнозный-баланс-на-20272029-годы"/>
    <w:p>
      <w:pPr>
        <w:pStyle w:val="Heading1"/>
      </w:pPr>
      <w:r>
        <w:t xml:space="preserve">Прогнозный баланс на 2027–2029 годы</w:t>
      </w:r>
    </w:p>
    <w:bookmarkStart w:id="9" w:name="ооо-вектор-производство-упаковки"/>
    <w:p>
      <w:pPr>
        <w:pStyle w:val="Heading2"/>
      </w:pPr>
      <w:r>
        <w:t xml:space="preserve">ООО «Вектор», производство упаковки</w:t>
      </w:r>
    </w:p>
    <w:p>
      <w:pPr>
        <w:pStyle w:val="FirstParagraph"/>
      </w:pPr>
      <w:r>
        <w:t xml:space="preserve">на 31 декабря 2026 г.</w:t>
      </w:r>
    </w:p>
    <w:p>
      <w:pPr>
        <w:pStyle w:val="BodyText"/>
      </w:pPr>
      <w:r>
        <w:t xml:space="preserve">Прогноз составлен на основе бюджета продаж, плана закупок и графика погашения кредитов на 2027–2029 годы. Все суммы — в тысячах рублей, округлены до целых.</w:t>
      </w:r>
    </w:p>
    <w:p>
      <w:pPr>
        <w:pStyle w:val="BodyText"/>
      </w:pPr>
      <w:r>
        <w:t xml:space="preserve">Выручка заложена с ростом 12 % в 2027 году и по 8 % в следующие два года. Себестоимость — 68 % от выручки, коммерческие и управленческие расходы — 14 % от выручки.</w:t>
      </w:r>
    </w:p>
    <w:p>
      <w:pPr>
        <w:pStyle w:val="BodyText"/>
      </w:pPr>
      <w:r>
        <w:t xml:space="preserve">Дебиторская задолженность планируется на уровне 45 дней выручки, запасы — 60 дней себестоимости, кредиторская — 30 дней закупок. Ставка по кредиту — 18 % годовых.</w:t>
      </w:r>
    </w:p>
    <w:p>
      <w:pPr>
        <w:pStyle w:val="BodyText"/>
      </w:pPr>
      <w:r>
        <w:t xml:space="preserve">Инвестиции в оборудование — 40 000 ежегодно, амортизация — 25 000 в год. Дивиденды не начисляются, прибыль остаётся в компании.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С. Морозова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Д. В. Соколов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Прогнозный баланс на 2027–2029 годы</dc:title>
  <dc:creator/>
  <dc:language>ru</dc:language>
  <cp:keywords/>
  <dcterms:created xsi:type="dcterms:W3CDTF">2026-10-28T23:29:39Z</dcterms:created>
  <dcterms:modified xsi:type="dcterms:W3CDTF">2026-10-28T23:29:39Z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