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складского хозяйства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be0da8011ef5b6b68b3c76da1ffd2e50289a79e"/>
    <w:p>
      <w:pPr>
        <w:pStyle w:val="Heading2"/>
      </w:pPr>
      <w:r>
        <w:t xml:space="preserve">о согласовании закупки материалов для склада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соответствии с планом закупки товаров, работ и услуг прошу согласовать закупку материалов для упаковки и отгрузки: стрейч-плёнки, скотча и гофрокоробов. Запас, закупленный в сентябре, израсходован, и без этих материалов отгрузка заказов со склада остановится.</w:t>
      </w:r>
    </w:p>
    <w:p>
      <w:pPr>
        <w:pStyle w:val="BodyText"/>
      </w:pPr>
      <w:r>
        <w:t xml:space="preserve">Источник финансирования — бюджет склада на IV квартал. Начальная цена закупки — 184 000 рублей. Обоснование начальной цены приведено в приложении 1: три коммерческих предложения от разных поставщиков.</w:t>
      </w:r>
    </w:p>
    <w:p>
      <w:pPr>
        <w:pStyle w:val="BodyText"/>
      </w:pPr>
      <w:r>
        <w:t xml:space="preserve">Срок поставки — до 1 декабря 2026 года, место поставки — склад по адресу: г. Москва, ул. Складская, д. 4. Условия оплаты — по факту поставки в течение 10 рабочих дней.</w:t>
      </w:r>
    </w:p>
    <w:p>
      <w:pPr>
        <w:pStyle w:val="BodyText"/>
      </w:pPr>
      <w:r>
        <w:t xml:space="preserve">Приложение: 1) обоснование начальной цены на 3 л. в 1 экз.; 2) коммерческие предложения на 5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складского хозяйства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2026-11-03T20:37:05Z</dcterms:created>
  <dcterms:modified xsi:type="dcterms:W3CDTF">2026-11-03T20:37:05Z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