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Приложение № 1</w:t>
      </w:r>
    </w:p>
    <w:p>
      <w:pPr>
        <w:pStyle w:val="FirstParagraph"/>
      </w:pPr>
      <w:r>
        <w:t xml:space="preserve">Спецификация товара</w:t>
      </w:r>
    </w:p>
    <w:p>
      <w:pPr>
        <w:pStyle w:val="BodyText"/>
      </w:pPr>
      <w:r>
        <w:t xml:space="preserve">к договору поставки № 14 от 12 октября 2026 г.</w:t>
      </w:r>
    </w:p>
    <w:bookmarkStart w:id="10" w:name="приложение-1"/>
    <w:p>
      <w:pPr>
        <w:pStyle w:val="Heading1"/>
      </w:pPr>
      <w:r>
        <w:t xml:space="preserve">Приложение № 1</w:t>
      </w:r>
    </w:p>
    <w:bookmarkStart w:id="9" w:name="X8711844cb82d6eae3d68d2be28a2bca8ef57e84"/>
    <w:p>
      <w:pPr>
        <w:pStyle w:val="Heading2"/>
      </w:pPr>
      <w:r>
        <w:t xml:space="preserve">к договору поставки № 14 от 12 октября 2026 г.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Настоящее приложение является неотъемлемой частью договора поставки № 14 от 12 октября 2026 г. и вступает в силу с момента его подписания обеими сторонами.</w:t>
      </w:r>
    </w:p>
    <w:p>
      <w:pPr>
        <w:pStyle w:val="BodyText"/>
      </w:pPr>
      <w:r>
        <w:t xml:space="preserve">Поставщик передаёт, а покупатель принимает товар: ноутбук Lenovo ThinkPad E16 — 10 шт., монитор Dell P2422H — 10 шт., док-станция USB-C — 10 шт.</w:t>
      </w:r>
    </w:p>
    <w:p>
      <w:pPr>
        <w:pStyle w:val="BodyText"/>
      </w:pPr>
      <w:r>
        <w:t xml:space="preserve">Срок поставки — до 1 декабря 2026 года. Условия поставки и оплаты — по договору № 14.</w:t>
      </w:r>
    </w:p>
    <w:p>
      <w:pPr>
        <w:pStyle w:val="BodyText"/>
      </w:pPr>
      <w:r>
        <w:t xml:space="preserve">Приложение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/>
  <dc:language>ru</dc:language>
  <cp:keywords/>
  <dcterms:created xsi:type="dcterms:W3CDTF">2026-10-28T23:29:37Z</dcterms:created>
  <dcterms:modified xsi:type="dcterms:W3CDTF">2026-10-28T23:29:37Z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