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утверждении-нормы-расхода-топлива"/>
    <w:p>
      <w:pPr>
        <w:pStyle w:val="Heading2"/>
      </w:pPr>
      <w:r>
        <w:t xml:space="preserve">об утверждении нормы расхода топлива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Для учёта горюче-смазочных материалов по автомобилю Lada Largus, государственный номер А123ВС77, используемому в служебных поездках отдела снабжения, норма расхода топлива в рекомендациях Минтранса России не предусмотрена.</w:t>
      </w:r>
    </w:p>
    <w:p>
      <w:pPr>
        <w:pStyle w:val="BodyText"/>
      </w:pPr>
      <w:r>
        <w:t xml:space="preserve">На основании контрольного заезда, проведённого 10 ноября 2026 года по маршруту протяжённостью 100 км в смешанном цикле, и данных бортового компьютера установить норму расхода топлива 9,4 литра на 100 километров пробега.</w:t>
      </w:r>
    </w:p>
    <w:p>
      <w:pPr>
        <w:pStyle w:val="BodyText"/>
      </w:pPr>
      <w:r>
        <w:t xml:space="preserve">Главному бухгалтеру П. П. Петровой списывать топливо по установленной норме с 1 декабря 2026 года и пересматривать её при изменении условий эксплуатации автомобиля.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2026-10-28T23:29:36Z</dcterms:created>
  <dcterms:modified xsi:type="dcterms:W3CDTF">2026-10-28T23:29:36Z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