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главного бухгалтера</w:t>
      </w:r>
    </w:p>
    <w:p>
      <w:pPr>
        <w:pStyle w:val="BodyText"/>
      </w:pPr>
      <w:r>
        <w:t xml:space="preserve">И. И. Иванова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d7e22624fdb7695e59c2596efce5d68b44e55c3"/>
    <w:p>
      <w:pPr>
        <w:pStyle w:val="Heading2"/>
      </w:pPr>
      <w:r>
        <w:t xml:space="preserve">об организации работы с листками нетрудоспособности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С 26 апреля 2026 года действует приказ Минздрава России от 31.03.2026 № 222н, который изменил Условия и порядок формирования листков нетрудоспособности, утверждённые приказом Минздрава России от 23.11.2021 № 1089н. Часть правил касается выплаты пособий, которые считает бухгалтерия.</w:t>
      </w:r>
    </w:p>
    <w:p>
      <w:pPr>
        <w:pStyle w:val="BodyText"/>
      </w:pPr>
      <w:r>
        <w:t xml:space="preserve">Прошу до 1 декабря 2026 года обновить внутренний регламент работы с листками нетрудоспособности: проверить, кто в компании запрашивает сведения о номере электронного листка, как сверяются данные с СФР и где хранятся бумажные листки.</w:t>
      </w:r>
    </w:p>
    <w:p>
      <w:pPr>
        <w:pStyle w:val="BodyText"/>
      </w:pPr>
      <w:r>
        <w:t xml:space="preserve">Приложение: копия приказа Минздрава России от 31.03.2026 № 222н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приказа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2026-10-30T21:50:54Z</dcterms:created>
  <dcterms:modified xsi:type="dcterms:W3CDTF">2026-10-30T21:50:54Z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