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12-к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950661f1e176191801e40baa6b8301ab27877f9"/>
    <w:p>
      <w:pPr>
        <w:pStyle w:val="Heading2"/>
      </w:pPr>
      <w:r>
        <w:t xml:space="preserve">об утверждении Правил внутреннего трудового распорядка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Утвердить Правила внутреннего трудового распорядка ООО «Ромашка» в новой редакции согласно приложению к настоящему приказу.</w:t>
      </w:r>
    </w:p>
    <w:p>
      <w:pPr>
        <w:pStyle w:val="BodyText"/>
      </w:pPr>
      <w:r>
        <w:t xml:space="preserve">Ввести Правила в действие с 1 декабря 2026 года.</w:t>
      </w:r>
    </w:p>
    <w:p>
      <w:pPr>
        <w:pStyle w:val="BodyText"/>
      </w:pPr>
      <w:r>
        <w:t xml:space="preserve">Начальнику отдела кадров И. И. Ивановой ознакомить всех работников с Правилами под подпись до 30 ноября 2026 года.</w:t>
      </w:r>
    </w:p>
    <w:p>
      <w:pPr>
        <w:pStyle w:val="BodyText"/>
      </w:pPr>
      <w:r>
        <w:t xml:space="preserve">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2026-10-31T20:35:16Z</dcterms:created>
  <dcterms:modified xsi:type="dcterms:W3CDTF">2026-10-31T20:35:16Z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