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должностных-инструкций"/>
    <w:p>
      <w:pPr>
        <w:pStyle w:val="Heading2"/>
      </w:pPr>
      <w:r>
        <w:t xml:space="preserve">об утверждении должностных инструкций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Утвердить должностные инструкции работников согласно приложению к настоящему приказу: менеджера по продажам, бухгалтера, кладовщика.</w:t>
      </w:r>
    </w:p>
    <w:p>
      <w:pPr>
        <w:pStyle w:val="BodyText"/>
      </w:pPr>
      <w:r>
        <w:t xml:space="preserve">Ввести должностные инструкции в действие с 1 декабря 2026 года.</w:t>
      </w:r>
    </w:p>
    <w:p>
      <w:pPr>
        <w:pStyle w:val="BodyText"/>
      </w:pPr>
      <w:r>
        <w:t xml:space="preserve">Начальнику отдела кадров И. И. Ивановой ознакомить работников с должностными инструкциями под подпись до 30 ноября 2026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2026-10-30T21:50:47Z</dcterms:created>
  <dcterms:modified xsi:type="dcterms:W3CDTF">2026-10-30T21:50:47Z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