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d6592316d591dde4a6f147380e109438658a3f"/>
    <w:p>
      <w:pPr>
        <w:pStyle w:val="Heading2"/>
      </w:pPr>
      <w:r>
        <w:t xml:space="preserve">об отмене приказа от 3 февраля 2026 г. № 12 «О временном пропускном режиме»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В связи с завершением ремонта на первом этаже и возвращением сотрудников на рабочие места временный пропускной режим, введённый приказом от 3 февраля 2026 г. № 12, больше не нужен.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приказ от 3 февраля 2026 г. № 12 «О временном пропускном режиме» с 17 ноября 2026 года.</w:t>
      </w:r>
    </w:p>
    <w:p>
      <w:pPr>
        <w:pStyle w:val="BodyText"/>
      </w:pPr>
      <w:r>
        <w:t xml:space="preserve">2. Начальнику службы охраны С. А. Кузнецову с 17 ноября 2026 года вернуть обычный порядок допуска в здание и снять временные пропуска у сотрудников до 20 ноября 2026 года.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службы охраны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2026-10-28T23:29:32Z</dcterms:created>
  <dcterms:modified xsi:type="dcterms:W3CDTF">2026-10-28T23:29:32Z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