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2dfed14d1600937380b1f6768f082129e184bb"/>
    <w:p>
      <w:pPr>
        <w:pStyle w:val="Heading2"/>
      </w:pPr>
      <w:r>
        <w:t xml:space="preserve">об отмене ведения личных карточек работников по форме Т-2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 «___» __________ 20__ года прекратить ведение личных карточек работников по форме Т-2. Личные карточки на работников, принятых с этой даты, не заводить.</w:t>
      </w:r>
    </w:p>
    <w:p>
      <w:pPr>
        <w:pStyle w:val="BodyText"/>
      </w:pPr>
      <w:r>
        <w:t xml:space="preserve">Личные карточки, заведённые до этой даты, оставить на хранении в ____________________ и закрыть по правилам архивного хранения. Сведения о работниках, приёме, переводах и увольнении вести в ____________________________________.</w:t>
      </w:r>
    </w:p>
    <w:p>
      <w:pPr>
        <w:pStyle w:val="BodyText"/>
      </w:pPr>
      <w:r>
        <w:t xml:space="preserve">____________________ до «___» __________ 20__ года внести изменение в инструкцию по делопроизводству и ознакомить с приказом ____________________.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2026-11-04T20:35:36Z</dcterms:created>
  <dcterms:modified xsi:type="dcterms:W3CDTF">2026-11-04T20:35:36Z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