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3843fec0f37d25eae1141e3e4d93ba277b6879"/>
    <w:p>
      <w:pPr>
        <w:pStyle w:val="Heading2"/>
      </w:pPr>
      <w:r>
        <w:t xml:space="preserve">об оплате работы в выходной день в двойном размере</w:t>
      </w:r>
    </w:p>
    <w:p>
      <w:pPr>
        <w:pStyle w:val="FirstParagraph"/>
      </w:pPr>
      <w:r>
        <w:t xml:space="preserve">14 марта 2026 г.</w:t>
      </w:r>
    </w:p>
    <w:p>
      <w:pPr>
        <w:pStyle w:val="BodyText"/>
      </w:pPr>
      <w:r>
        <w:t xml:space="preserve">В связи с производственной необходимостью и на основании ст. 113 и ст. 153 Трудового кодекса РФ, а также с письменного согласия работников приказываю:</w:t>
      </w:r>
    </w:p>
    <w:p>
      <w:pPr>
        <w:pStyle w:val="BodyText"/>
      </w:pPr>
      <w:r>
        <w:t xml:space="preserve">1. Привлечь к работе в выходной день 14 марта 2026 года (суббота) с оплатой в двойном размере: менеджера Ковалёву Анну Сергеевну — 8 часов; кладовщика Сидорова Петра Ильича — 4 часа.</w:t>
      </w:r>
    </w:p>
    <w:p>
      <w:pPr>
        <w:pStyle w:val="BodyText"/>
      </w:pPr>
      <w:r>
        <w:t xml:space="preserve">2. Установить оплату за работу в выходной день в двойном размере: Ковалёвой А. С. — по двойной дневной ставке сверх оклада, Сидорову П. И. — по двойной часовой ставке.</w:t>
      </w:r>
    </w:p>
    <w:p>
      <w:pPr>
        <w:pStyle w:val="BodyText"/>
      </w:pPr>
      <w:r>
        <w:t xml:space="preserve">3. Бухгалтеру Прокофьевой М. П. начислить доплату за работу в выходной день в двойном размере в расчёт за март 2026 года и отразить в табеле учёта рабочего времени.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В. В.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А. С. Ковалёва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2026-11-04T20:35:33Z</dcterms:created>
  <dcterms:modified xsi:type="dcterms:W3CDTF">2026-11-04T20:35:33Z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