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3843fec0f37d25eae1141e3e4d93ba277b6879"/>
    <w:p>
      <w:pPr>
        <w:pStyle w:val="Heading2"/>
      </w:pPr>
      <w:r>
        <w:t xml:space="preserve">об оплате работы в выходной день в двойном размере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1. Привлечь к работе в выходной день «___» __________ 20__ года с оплатой в двойном размере: ______________________________________________ — ____ часов; ______________________________________________ — ____ часов.</w:t>
      </w:r>
    </w:p>
    <w:p>
      <w:pPr>
        <w:pStyle w:val="BodyText"/>
      </w:pPr>
      <w:r>
        <w:t xml:space="preserve">2. Установить оплату за работу в выходной день в двойном размере: ______________________________________________ — ______________________; ______________________________________________ — ______________________.</w:t>
      </w:r>
    </w:p>
    <w:p>
      <w:pPr>
        <w:pStyle w:val="BodyText"/>
      </w:pPr>
      <w:r>
        <w:t xml:space="preserve">3. Бухгалтеру ______________________________ начислить доплату за работу в выходной день в двойном размере в расчёт за ______________________ и отразить в табеле учёта рабочего времени.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2026-11-04T20:35:33Z</dcterms:created>
  <dcterms:modified xsi:type="dcterms:W3CDTF">2026-11-04T20:35:33Z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