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оплате-переработки-за-учётный-период"/>
    <w:p>
      <w:pPr>
        <w:pStyle w:val="Heading2"/>
      </w:pPr>
      <w:r>
        <w:t xml:space="preserve">об оплате переработки за учётный период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итогам учётного периода — IV квартал 2026 года — у машиниста котельной С. А. Кузнецова фактически отработанные часы превысили норму рабочего времени по производственному календарю на 14 часов. Переработка подтверждена табелями учёта рабочего времени за октябрь, ноябрь и декабрь 2026 года.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Бухгалтерии оплатить работу сверх нормы рабочего времени за учётный период на основании ст. 152 ТК РФ работникам согласно приложению 1 к настоящему приказу.</w:t>
      </w:r>
      <w:r>
        <w:t xml:space="preserve"> </w:t>
      </w:r>
      <w:r>
        <w:t xml:space="preserve">2. В пределах 120 сверхурочных часов за год первые два часа каждого дня или смены оплатить минимум в полуторном размере, последующие и все часы начиная со 121-го за год — минимум в двойном.</w:t>
      </w:r>
      <w:r>
        <w:t xml:space="preserve"> </w:t>
      </w:r>
      <w:r>
        <w:t xml:space="preserve">3. Конкретные размеры оплаты определить коллективным договором и трудовыми договорами работников.</w:t>
      </w:r>
    </w:p>
    <w:p>
      <w:pPr>
        <w:pStyle w:val="BodyText"/>
      </w:pPr>
      <w:r>
        <w:t xml:space="preserve">Основание: служебная записка начальника отдела кадров от 10.11.2026, табели учёта рабочего времени за IV квартал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Машинист котельной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2026-11-06T22:00:09Z</dcterms:created>
  <dcterms:modified xsi:type="dcterms:W3CDTF">2026-11-06T22:00:09Z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