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335c3642b0447ef3df5b70a15b36965d45c8b13"/>
    <w:p>
      <w:pPr>
        <w:pStyle w:val="Heading2"/>
      </w:pPr>
      <w:r>
        <w:t xml:space="preserve">об использовании личного транспорта в служебных целях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связи с производственной необходимостью и на основании ст. 188 Трудового кодекса РФ, а также заявлений работников ПРИКАЗЫВАЮ:</w:t>
      </w:r>
    </w:p>
    <w:p>
      <w:pPr>
        <w:pStyle w:val="BodyText"/>
      </w:pPr>
      <w:r>
        <w:t xml:space="preserve">1. Разрешить с 1 декабря 2026 года использовать личный автомобиль в служебных целях менеджеру по продажам И. И. Иванову (автомобиль Lada Vesta, государственный номер А123ВС77) и водителю-экспедитору П. П. Петрову (автомобиль Kia Rio, государственный номер Е456КХ50).</w:t>
      </w:r>
    </w:p>
    <w:p>
      <w:pPr>
        <w:pStyle w:val="BodyText"/>
      </w:pPr>
      <w:r>
        <w:t xml:space="preserve">2. Выплачивать Иванову И. И. компенсацию 3 000 рублей в месяц и возмещать расходы на топливо по путевым листам и чекам; Петрову П. П. — компенсацию 2 000 рублей в месяц и возмещать расходы на топливо по путевым листам и чекам.</w:t>
      </w:r>
    </w:p>
    <w:p>
      <w:pPr>
        <w:pStyle w:val="BodyText"/>
      </w:pPr>
      <w:r>
        <w:t xml:space="preserve">3. Установить, что служебными поездками считаются поездки по заданию руководителя отдела, подтверждённые путевым листом и отчётом о поездке.</w:t>
      </w:r>
    </w:p>
    <w:p>
      <w:pPr>
        <w:pStyle w:val="BodyText"/>
      </w:pPr>
      <w:r>
        <w:t xml:space="preserve">4. Главному бухгалтеру А. А. Смирновой начислять компенсацию в составе заработной платы за месяц и хранить подтверждающие документы.</w:t>
      </w:r>
    </w:p>
    <w:p>
      <w:pPr>
        <w:pStyle w:val="BodyText"/>
      </w:pPr>
      <w:r>
        <w:t xml:space="preserve">5.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2026-11-03T20:36:38Z</dcterms:created>
  <dcterms:modified xsi:type="dcterms:W3CDTF">2026-11-03T20:36:38Z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