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35c3642b0447ef3df5b70a15b36965d45c8b13"/>
    <w:p>
      <w:pPr>
        <w:pStyle w:val="Heading2"/>
      </w:pPr>
      <w:r>
        <w:t xml:space="preserve">об использовании личного транспорта в служебных целях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Разрешить использовать личный транспорт в служебных целях: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Выплачивать компенсацию и возмещать расходы: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Служебными поездками считать: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Ответственному за начисление и хранение документов: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Контроль за исполнением приказа: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2026-11-03T20:36:38Z</dcterms:created>
  <dcterms:modified xsi:type="dcterms:W3CDTF">2026-11-03T20:36:38Z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