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3dbbabac90fada020de917297d9813e8a09016"/>
    <w:p>
      <w:pPr>
        <w:pStyle w:val="Heading2"/>
      </w:pPr>
      <w:r>
        <w:t xml:space="preserve">о проведении инвентаризации основных средств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Для проверки фактического наличия и состояния основных средств и подтверждения данных бухгалтерского учёта по состоянию на 31 декабря 2026 года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инвентаризацию основных средств в здании склада и в цехе № 2. Срок проведения — с 1 по 15 декабря 2026 года.</w:t>
      </w:r>
      <w:r>
        <w:t xml:space="preserve"> </w:t>
      </w:r>
      <w:r>
        <w:t xml:space="preserve">2. Назначить инвентаризационную комиссию в составе: председатель — заместитель директора А. С. Волков; члены комиссии — главный бухгалтер М. И. Соколова, начальник цеха № 2 Д. Н. Орлов. Материально ответственному лицу — кладовщику Р. А. Гусеву — присутствовать при проверке вверенного ему имущества.</w:t>
      </w:r>
      <w:r>
        <w:t xml:space="preserve"> </w:t>
      </w:r>
      <w:r>
        <w:t xml:space="preserve">3. До начала проверки опечатать склад, передать комиссии последние приходные и расходные документы и отчёт материально ответственного лица.</w:t>
      </w:r>
      <w:r>
        <w:t xml:space="preserve"> </w:t>
      </w:r>
      <w:r>
        <w:t xml:space="preserve">4. Материально ответственному лицу — кладовщику Р. А. Гусеву — присутствовать при проверке и дать расписку о том, что все документы по имуществу сданы.</w:t>
      </w:r>
      <w:r>
        <w:t xml:space="preserve"> </w:t>
      </w:r>
      <w:r>
        <w:t xml:space="preserve">5. Результаты оформить инвентаризационной описью и сличительной ведомостью, при расхождениях — ведомостью расхождений.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Председатель комиссии А. С. Волков, члены комиссии М. И. Соколова, Д. Н. Орлов, Р. А. Гусев, кладовщик Р. А. Гусев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2026-11-05T20:32:33Z</dcterms:created>
  <dcterms:modified xsi:type="dcterms:W3CDTF">2026-11-05T20:32:33Z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