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05f5422437bb97f64b2dff7ac9396a658ec5bb1"/>
    <w:p>
      <w:pPr>
        <w:pStyle w:val="Heading2"/>
      </w:pPr>
      <w:r>
        <w:t xml:space="preserve">о закреплении топливных карт за сотрудниками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Закрепить топливные карты за сотрудниками: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Установить, что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Назначить ответственным за учёт топливных карт ______________________________________________________________________________________________________</w:t>
      </w:r>
    </w:p>
    <w:p>
      <w:pPr>
        <w:pStyle w:val="BodyText"/>
      </w:pPr>
      <w:r>
        <w:t xml:space="preserve">4. При увольнении или переводе сотрудника 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Контроль за исполнением приказа возложить на 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2026-11-07T20:45:40Z</dcterms:created>
  <dcterms:modified xsi:type="dcterms:W3CDTF">2026-11-07T20:45:40Z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