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41-к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49397b8d640b5345e8fb045450f4ce677ae40d"/>
    <w:p>
      <w:pPr>
        <w:pStyle w:val="Heading2"/>
      </w:pPr>
      <w:r>
        <w:t xml:space="preserve">о выплате компенсации за неиспользованный отпуск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увольнением менеджера по продажам И. И. Иванова 16 ноября 2026 года и на основании статьи 127 Трудового кодекса Российской Федерации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Выплатить менеджеру по продажам И. И. Иванову компенсацию за неиспользованный отпуск за 9 календарных дней.</w:t>
      </w:r>
      <w:r>
        <w:t xml:space="preserve"> </w:t>
      </w:r>
      <w:r>
        <w:t xml:space="preserve">2. Главному бухгалтеру начислить и выплатить компенсацию в день увольнения вместе с расчётом.</w:t>
      </w:r>
      <w:r>
        <w:t xml:space="preserve"> </w:t>
      </w: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2026-10-30T21:50:42Z</dcterms:created>
  <dcterms:modified xsi:type="dcterms:W3CDTF">2026-10-30T21:50:42Z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