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внесении-изменений-в-учетную-политику"/>
    <w:p>
      <w:pPr>
        <w:pStyle w:val="Heading2"/>
      </w:pPr>
      <w:r>
        <w:t xml:space="preserve">о внесении изменений в учетную политику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В связи с изменением законодательства о бухгалтерском учете и необходимостью уточнения способов ведения учета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Внести изменения в учетную политику ООО «Ромашка», утвержденную приказом от 30.12.2025 № 12, согласно приложению к настоящему приказу.</w:t>
      </w:r>
    </w:p>
    <w:p>
      <w:pPr>
        <w:pStyle w:val="BodyText"/>
      </w:pPr>
      <w:r>
        <w:t xml:space="preserve">2. Изменения применяются с 1 января 2027 года.</w:t>
      </w:r>
    </w:p>
    <w:p>
      <w:pPr>
        <w:pStyle w:val="BodyText"/>
      </w:pPr>
      <w:r>
        <w:t xml:space="preserve">3. Главному бухгалтеру обеспечить применение изменений в бухгалтерском и налоговом учете с указанной даты.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П. П.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2026-11-07T20:45:30Z</dcterms:created>
  <dcterms:modified xsi:type="dcterms:W3CDTF">2026-11-07T20:45:30Z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