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ивлечении-к-сверхурочной-работе"/>
    <w:p>
      <w:pPr>
        <w:pStyle w:val="Heading2"/>
      </w:pPr>
      <w:r>
        <w:t xml:space="preserve">о привлечении к сверхурочной работе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производственной необходимостью — срывом поставки комплектующих и простоем сборочной линии — в целях выполнения заказа ООО «Вектор» в срок до 20 ноября 2026 года, с письменного согласия работников и в соответствии со статьёй 99 Трудового кодекса Российской Федерации приказываю:</w:t>
      </w:r>
    </w:p>
    <w:p>
      <w:pPr>
        <w:pStyle w:val="BodyText"/>
      </w:pPr>
      <w:r>
        <w:t xml:space="preserve">1. Привлечь к сверхурочной работе 17 ноября 2026 года с 18:00 до 21:00 продолжительностью 3 часа следующих работников: слесаря-сборщика А. В. Смирнова, слесаря-сборщика Д. С. Кузнецова.</w:t>
      </w:r>
    </w:p>
    <w:p>
      <w:pPr>
        <w:pStyle w:val="BodyText"/>
      </w:pPr>
      <w:r>
        <w:t xml:space="preserve">2. Начальнику отдела кадров обеспечить точный учёт продолжительности сверхурочной работы каждого работника.</w:t>
      </w:r>
    </w:p>
    <w:p>
      <w:pPr>
        <w:pStyle w:val="BodyText"/>
      </w:pPr>
      <w:r>
        <w:t xml:space="preserve">3. Главному бухгалтеру оплатить часы переработки по табелю: в пределах 120 сверхурочных часов в году первые два часа работы — не менее чем в полуторном размере, последующие — не менее чем в двойном; начиная со 121-го часа в году каждый час — не менее чем в двойном размере (статья 152 ТК РФ).</w:t>
      </w:r>
    </w:p>
    <w:p>
      <w:pPr>
        <w:pStyle w:val="BodyText"/>
      </w:pPr>
      <w:r>
        <w:t xml:space="preserve">4. Контроль за исполнением приказа возлагаю на начальника цеха И. П. Орлова.</w:t>
      </w:r>
    </w:p>
    <w:p>
      <w:pPr>
        <w:pStyle w:val="BodyText"/>
      </w:pPr>
      <w:r>
        <w:t xml:space="preserve">Основание: служебная записка начальника цеха И. П. Орлова от 14 ноября 2026 г., письменное согласие работников от 16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Слесарь-сборщик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2026-11-01T20:35:09Z</dcterms:created>
  <dcterms:modified xsi:type="dcterms:W3CDTF">2026-11-01T20:35:09Z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