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ГБУЗ «Городская поликлиника № 7»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12 января 2026 г. № 4-осн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создании-врачебной-комиссии"/>
    <w:p>
      <w:pPr>
        <w:pStyle w:val="Heading2"/>
      </w:pPr>
      <w:r>
        <w:t xml:space="preserve">о создании врачебной комиссии</w:t>
      </w:r>
    </w:p>
    <w:p>
      <w:pPr>
        <w:pStyle w:val="FirstParagraph"/>
      </w:pPr>
      <w:r>
        <w:t xml:space="preserve">г. Пятигорск</w:t>
      </w:r>
    </w:p>
    <w:p>
      <w:pPr>
        <w:pStyle w:val="BodyText"/>
      </w:pPr>
      <w:r>
        <w:t xml:space="preserve">В соответствии с частью 2 статьи 48 Федерального закона от 21.11.2011 № 323-ФЗ «Об основах охраны здоровья граждан в Российской Федерации» и Порядком создания и деятельности врачебной комиссии медицинской организации, утверждённым приказом Минздрава России от 10.04.2025 № 180н, приказываю:</w:t>
      </w:r>
    </w:p>
    <w:p>
      <w:pPr>
        <w:pStyle w:val="BodyText"/>
      </w:pPr>
      <w:r>
        <w:t xml:space="preserve">1. Создать врачебную комиссию медицинской организации в следующем составе: председатель комиссии — заместитель главного врача по медицинской части Петрова Анна Сергеевна; заместитель председателя — заведующий терапевтическим отделением Ким Игорь Владимирович; секретарь комиссии — врач-методист Соколова Мария Андреевна; члены комиссии — заместитель главного врача по клинико-экспертной работе, заведующий хирургическим отделением, заведующий отделением лучевой диагностики, главный внештатный специалист по внутренним болезням.</w:t>
      </w:r>
    </w:p>
    <w:p>
      <w:pPr>
        <w:pStyle w:val="BodyText"/>
      </w:pPr>
      <w:r>
        <w:t xml:space="preserve">2. Утвердить Положение о врачебной комиссии медицинской организации и перечень вопросов, по которым комиссия принимает решения: оценка качества и обоснованности лечебно-диагностических мероприятий, назначение и коррекция лечения, обеспечение лекарственными препаратами отдельных категорий пациентов, определение трудоспособности и профессиональной пригодности, разбор сложных и конфликтных случаев.</w:t>
      </w:r>
    </w:p>
    <w:p>
      <w:pPr>
        <w:pStyle w:val="BodyText"/>
      </w:pPr>
      <w:r>
        <w:t xml:space="preserve">3. Установить, что заседания комиссии проводятся по мере необходимости, но не реже одного раза в месяц; решения оформляются протоколом, который подписывают присутствовавшие на заседании члены комиссии.</w:t>
      </w:r>
    </w:p>
    <w:p>
      <w:pPr>
        <w:pStyle w:val="BodyText"/>
      </w:pPr>
      <w:r>
        <w:t xml:space="preserve">4. Секретарю комиссии вести учёт обращений и протоколов, хранить документы комиссии в соответствии с номенклатурой дел организации.</w:t>
      </w:r>
    </w:p>
    <w:p>
      <w:pPr>
        <w:pStyle w:val="BodyText"/>
      </w:pPr>
      <w:r>
        <w:t xml:space="preserve">5. Контроль за исполнением настоящего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медицинской организации</w:t>
            </w:r>
          </w:p>
          <w:p>
            <w:pPr>
              <w:pStyle w:val="BodyText"/>
            </w:pPr>
            <w:r>
              <w:t xml:space="preserve">Главный врач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2026-11-07T20:45:21Z</dcterms:created>
  <dcterms:modified xsi:type="dcterms:W3CDTF">2026-11-07T20:45:21Z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