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приёмочной-комиссии"/>
    <w:p>
      <w:pPr>
        <w:pStyle w:val="Heading2"/>
      </w:pPr>
      <w:r>
        <w:t xml:space="preserve">О создании приёмочной комиссии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Создать ______________________________ комиссию в составе согласно приложению № 1.</w:t>
      </w:r>
    </w:p>
    <w:p>
      <w:pPr>
        <w:pStyle w:val="BodyText"/>
      </w:pPr>
      <w:r>
        <w:t xml:space="preserve">2. Утвердить Положение о комиссии согласно приложению № 2.</w:t>
      </w:r>
    </w:p>
    <w:p>
      <w:pPr>
        <w:pStyle w:val="BodyText"/>
      </w:pPr>
      <w:r>
        <w:t xml:space="preserve">3. Председателю комиссии обеспечить ______________________________________________.</w:t>
      </w:r>
    </w:p>
    <w:p>
      <w:pPr>
        <w:pStyle w:val="BodyText"/>
      </w:pPr>
      <w:r>
        <w:t xml:space="preserve">4. Контроль за исполнением настоящего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2026-10-28T23:29:26Z</dcterms:created>
  <dcterms:modified xsi:type="dcterms:W3CDTF">2026-10-28T23:29:26Z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