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45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30238d6bfd1d13fd9c040fd38246eea4ed258d0"/>
    <w:p>
      <w:pPr>
        <w:pStyle w:val="Heading2"/>
      </w:pPr>
      <w:r>
        <w:t xml:space="preserve">о проведении инвентаризации в связи со сменой материально ответственного лица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увольнением кладовщика Иванова И. И. и назначением на его должность Петрова П. П., руководствуясь подпунктом «в» пункта 15 ФСБУ 28/2023, приказываю:</w:t>
      </w:r>
    </w:p>
    <w:p>
      <w:pPr>
        <w:pStyle w:val="BodyText"/>
      </w:pPr>
      <w:r>
        <w:t xml:space="preserve">1. Провести инвентаризацию товарно-материальных ценностей на складе № 1 по состоянию на 16 ноября 2026 года.</w:t>
      </w:r>
    </w:p>
    <w:p>
      <w:pPr>
        <w:pStyle w:val="BodyText"/>
      </w:pPr>
      <w:r>
        <w:t xml:space="preserve">2. Назначить инвентаризационную комиссию в составе: председатель — главный бухгалтер Смирнова А. А., члены комиссии — заместитель директора по снабжению Кузнецов В. В., бухгалтер Орлова Е. Н.</w:t>
      </w:r>
    </w:p>
    <w:p>
      <w:pPr>
        <w:pStyle w:val="BodyText"/>
      </w:pPr>
      <w:r>
        <w:t xml:space="preserve">3. Материально ответственным лицом на период инвентаризации считать Петрова П. П. с 16 ноября 2026 года.</w:t>
      </w:r>
    </w:p>
    <w:p>
      <w:pPr>
        <w:pStyle w:val="BodyText"/>
      </w:pPr>
      <w:r>
        <w:t xml:space="preserve">4. Иванову И. И. к началу работы комиссии подготовить все документы по движению товаров и передать их комиссии.</w:t>
      </w:r>
    </w:p>
    <w:p>
      <w:pPr>
        <w:pStyle w:val="BodyText"/>
      </w:pPr>
      <w:r>
        <w:t xml:space="preserve">5. Результаты инвентаризации оформить описями и сличительными ведомостями и сдать в бухгалтерию до 20 ноября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Соколов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Ознакомлены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2026-11-01T20:34:59Z</dcterms:created>
  <dcterms:modified xsi:type="dcterms:W3CDTF">2026-11-01T20:34:59Z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