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dc359776b63fda2589019847daa41e65143344"/>
    <w:p>
      <w:pPr>
        <w:pStyle w:val="Heading2"/>
      </w:pPr>
      <w:r>
        <w:t xml:space="preserve">о проведении инвентаризации дебиторской и кредиторской задолженности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статьи 11 Федерального закона от 06.12.2011 № 402-ФЗ «О бухгалтерском учёте» и ФСБУ 28/2023 «Инвентаризация» провожу инвентаризацию дебиторской и кредиторской задолженности по состоянию на 31 декабря 2026 года.</w:t>
      </w:r>
    </w:p>
    <w:p>
      <w:pPr>
        <w:pStyle w:val="BodyText"/>
      </w:pPr>
      <w:r>
        <w:t xml:space="preserve">Причина: перед составлением годовой бухгалтерской отчётности нужно подтвердить остатки расчётов с покупателями, поставщиками и прочими контрагентами и выявить просроченные и сомнительные долги.</w:t>
      </w:r>
    </w:p>
    <w:p>
      <w:pPr>
        <w:pStyle w:val="BodyText"/>
      </w:pPr>
      <w:r>
        <w:t xml:space="preserve">Инвентаризацию провести с 1 по 15 декабря 2026 года. Инвентаризационная комиссия: председатель — заместитель директора С. А. Кузнецов, члены комиссии — главный бухгалтер М. И. Орлова, начальник отдела продаж А. П. Белов.</w:t>
      </w:r>
    </w:p>
    <w:p>
      <w:pPr>
        <w:pStyle w:val="BodyText"/>
      </w:pPr>
      <w:r>
        <w:t xml:space="preserve">Главному бухгалтеру М. И. Орловой подготовить акты сверки с контрагентами, выписки по счетам 60, 62, 76 и к 16 декабря 2026 года сдать инвентаризационную опись и акт по форме ИНВ-17.</w:t>
      </w:r>
    </w:p>
    <w:p>
      <w:pPr>
        <w:pStyle w:val="BodyText"/>
      </w:pPr>
      <w:r>
        <w:t xml:space="preserve">Контроль за исполнением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2026-11-05T20:32:30Z</dcterms:created>
  <dcterms:modified xsi:type="dcterms:W3CDTF">2026-11-05T20:32:30Z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