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даче-материальных-ценностей"/>
    <w:p>
      <w:pPr>
        <w:pStyle w:val="Heading2"/>
      </w:pPr>
      <w:r>
        <w:t xml:space="preserve">о передаче 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переводом кладовщика И. И. Иванова на должность заведующего складом и в целях сохранности имущества организации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Кладовщику И. И. Иванову передать заведующему складом П. П. Петрову материальные ценности, числящиеся за складом № 2, по акту приёма-передачи в срок до 20 ноября 2026 года.</w:t>
      </w:r>
    </w:p>
    <w:p>
      <w:pPr>
        <w:pStyle w:val="BodyText"/>
      </w:pPr>
      <w:r>
        <w:t xml:space="preserve">2. Заведующему складом П. П. Петрову принять ценности, проверить их наличие и состояние, подписать акт приёма-передачи.</w:t>
      </w:r>
    </w:p>
    <w:p>
      <w:pPr>
        <w:pStyle w:val="BodyText"/>
      </w:pPr>
      <w:r>
        <w:t xml:space="preserve">3. Главному бухгалтеру С. С. Сидоровой отразить передачу в бухгалтерском учёте и внести изменения в инвентарные карточки.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2026-10-31T20:34:47Z</dcterms:created>
  <dcterms:modified xsi:type="dcterms:W3CDTF">2026-10-31T20:34:47Z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