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______</w:t>
      </w:r>
    </w:p>
    <w:p>
      <w:pPr>
        <w:pStyle w:val="BodyText"/>
      </w:pPr>
      <w:r>
        <w:t xml:space="preserve">г. 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666d58423f0fd24612330b42ecb487118b0978"/>
    <w:p>
      <w:pPr>
        <w:pStyle w:val="Heading2"/>
      </w:pPr>
      <w:r>
        <w:t xml:space="preserve">о назначении лиц, имеющих право выдачи нарядов-допусков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требованиями охраны труда при производстве работ повышенной опасности и в целях обеспечения безопасного выполнения таких работ</w:t>
      </w:r>
    </w:p>
    <w:p>
      <w:pPr>
        <w:pStyle w:val="BodyText"/>
      </w:pPr>
      <w:r>
        <w:t xml:space="preserve">1. Назначить лицами, имеющими право выдачи нарядов-допусков на производство работ повышенной опасности, следующих работников:</w:t>
      </w:r>
      <w:r>
        <w:t xml:space="preserve"> </w:t>
      </w:r>
      <w:r>
        <w:t xml:space="preserve">— ____________________________________________________________________________;</w:t>
      </w:r>
      <w:r>
        <w:t xml:space="preserve"> </w:t>
      </w:r>
      <w:r>
        <w:t xml:space="preserve">— ____________________________________________________________________________.</w:t>
      </w:r>
    </w:p>
    <w:p>
      <w:pPr>
        <w:pStyle w:val="BodyText"/>
      </w:pPr>
      <w:r>
        <w:t xml:space="preserve">2. Установить, что наряд-допуск подписывает назначенное лицо, а допуск бригады к работе оформляет допускающий или другое лицо, которому соответствующие правила разрешают выполнять эту обязанность.</w:t>
      </w:r>
    </w:p>
    <w:p>
      <w:pPr>
        <w:pStyle w:val="BodyText"/>
      </w:pPr>
      <w:r>
        <w:t xml:space="preserve">3. Назначенным лицам пройти проверку знаний требований охраны труда и получить удостоверение в установленном порядке.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2026-11-07T20:44:48Z</dcterms:created>
  <dcterms:modified xsi:type="dcterms:W3CDTF">2026-11-07T20:44:48Z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