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6a69d82cb1d833b4814aebb4c0cb7956c71b79"/>
    <w:p>
      <w:pPr>
        <w:pStyle w:val="Heading2"/>
      </w:pPr>
      <w:r>
        <w:t xml:space="preserve">о списании кредиторской задолженности с истекшим сроком исковой давности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результатам инвентаризации расчётов с поставщиками и подрядчиками, проведённой на основании приказа от 10 ноября 2026 г. № 44, выявлена кредиторская задолженность с истёкшим сроком исковой давности: ООО «Вектор» — оплата за услуги связи по договору от 12 августа 2023 г. № 18/23 в сумме 84 000 (восемьдесят четыре тысячи) рублей, дата образования задолженности — 30 сентября 2023 г.</w:t>
      </w:r>
    </w:p>
    <w:p>
      <w:pPr>
        <w:pStyle w:val="BodyText"/>
      </w:pPr>
      <w:r>
        <w:t xml:space="preserve">1. Списать кредиторскую задолженность перед ООО «Вектор» в размере 84 000 (восемьдесят четыре тысячи) рублей на основании пункта 78 Положения по ведению бухгалтерского учёта и бухгалтерской отчётности, утверждённого приказом Минфина России от 29.07.1998 № 34н, и статьи 196 Гражданского кодекса.</w:t>
      </w:r>
    </w:p>
    <w:p>
      <w:pPr>
        <w:pStyle w:val="BodyText"/>
      </w:pPr>
      <w:r>
        <w:t xml:space="preserve">2. Главному бухгалтеру отразить списание в бухгалтерском и налоговом учёте в ноябре 2026 года, включить сумму во внереализационные доходы и приложить к приказу акт инвентаризации № ИНВ-17 от 14 ноября 2026 г. и бухгалтерскую справку.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2026-11-03T20:36:06Z</dcterms:created>
  <dcterms:modified xsi:type="dcterms:W3CDTF">2026-11-03T20:36:06Z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