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4c4b5d94798756586011f339062cb77d2679d7"/>
    <w:p>
      <w:pPr>
        <w:pStyle w:val="Heading2"/>
      </w:pPr>
      <w:r>
        <w:t xml:space="preserve">о списании дебиторской задолженности с истекшим сроком исковой давности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 результатам инвентаризации расчётов с покупателями и заказчиками на 1 ноября 2026 года выявлена дебиторская задолженность с истекшим сроком исковой давности, подтверждённая актом инвентаризации № 8 от 1 ноября 2026 г. и бухгалтерской справкой.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Списать с баланса дебиторскую задолженность ООО «Василёк» по договору поставки № 14 от 12 марта 2023 г. в сумме 148 000 рублей, срок исковой давности по которой истёк.</w:t>
      </w:r>
      <w:r>
        <w:t xml:space="preserve"> </w:t>
      </w:r>
      <w:r>
        <w:t xml:space="preserve">2. Главному бухгалтеру отразить списание в бухгалтерском учёте и учесть сумму во внереализационных расходах в порядке подпункта 2 пункта 2 статьи 265 Налогового кодекса.</w:t>
      </w:r>
      <w:r>
        <w:t xml:space="preserve"> </w:t>
      </w:r>
      <w:r>
        <w:t xml:space="preserve">3. Списанную задолженность учесть на забалансовом счёте в течение пяти лет для наблюдения за возможностью взыскания.</w:t>
      </w:r>
    </w:p>
    <w:p>
      <w:pPr>
        <w:pStyle w:val="BodyText"/>
      </w:pPr>
      <w:r>
        <w:t xml:space="preserve">Приложение: акт инвентаризации № 8 от 1 ноября 2026 г., бухгалтерская справка, договор поставки № 14 от 12 марта 2023 г., товарные накладные —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2026-10-31T20:34:39Z</dcterms:created>
  <dcterms:modified xsi:type="dcterms:W3CDTF">2026-10-31T20:34:39Z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