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4c4b5d94798756586011f339062cb77d2679d7"/>
    <w:p>
      <w:pPr>
        <w:pStyle w:val="Heading2"/>
      </w:pPr>
      <w:r>
        <w:t xml:space="preserve">о списании дебиторской задолженности с истекшим сроком исковой давности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Списать с баланса дебиторскую задолженность __________________________________________</w:t>
      </w:r>
      <w:r>
        <w:t xml:space="preserve"> </w:t>
      </w:r>
      <w:r>
        <w:t xml:space="preserve">в сумме ____________________ рублей, срок исковой давности по которой истёк.</w:t>
      </w:r>
      <w:r>
        <w:t xml:space="preserve"> </w:t>
      </w:r>
      <w:r>
        <w:t xml:space="preserve">2. Главному бухгалтеру отразить списание в бухгалтерском учёте и учесть сумму во внереализационных расходах в порядке подпункта 2 пункта 2 статьи 265 Налогового кодекса.</w:t>
      </w:r>
      <w:r>
        <w:t xml:space="preserve"> </w:t>
      </w:r>
      <w:r>
        <w:t xml:space="preserve">3. Списанную задолженность учесть на забалансовом счёте в течение пяти лет для наблюдения за возможностью взыскания.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2026-10-31T20:34:39Z</dcterms:created>
  <dcterms:modified xsi:type="dcterms:W3CDTF">2026-10-31T20:34:39Z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