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12-од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aa96904f91a32a195cc5eeb6984650b1f1f21bf"/>
    <w:p>
      <w:pPr>
        <w:pStyle w:val="Heading2"/>
      </w:pPr>
      <w:r>
        <w:t xml:space="preserve">о списании дебиторской и кредиторской задолженности с истёкшим сроком исковой давности</w:t>
      </w:r>
    </w:p>
    <w:p>
      <w:pPr>
        <w:pStyle w:val="FirstParagraph"/>
      </w:pPr>
      <w:r>
        <w:t xml:space="preserve">16 ноября 2026 г. № 12-од</w:t>
      </w:r>
    </w:p>
    <w:p>
      <w:pPr>
        <w:pStyle w:val="BodyText"/>
      </w:pPr>
      <w:r>
        <w:t xml:space="preserve">В связи с истечением срока исковой давности и на основании данных инвентаризации расчётов, проведённой по состоянию на 31 октября 2026 года, ПРИКАЗЫВАЮ:</w:t>
      </w:r>
    </w:p>
    <w:p>
      <w:pPr>
        <w:pStyle w:val="BodyText"/>
      </w:pPr>
      <w:r>
        <w:t xml:space="preserve">1. Списан с бухгалтерского учёта безнадёжный долг ООО «Вектор» по договору поставки от 12 января 2023 г. № 45 в сумме 235 000 руб. как задолженность с истёкшим сроком исковой давности.</w:t>
      </w:r>
    </w:p>
    <w:p>
      <w:pPr>
        <w:pStyle w:val="BodyText"/>
      </w:pPr>
      <w:r>
        <w:t xml:space="preserve">2. Списана кредиторская задолженность перед ООО «Поставщик» по договору от 5 марта 2022 г. № 17 в сумме 120 000 руб. в связи с истечением срока исковой давности.</w:t>
      </w:r>
    </w:p>
    <w:p>
      <w:pPr>
        <w:pStyle w:val="BodyText"/>
      </w:pPr>
      <w:r>
        <w:t xml:space="preserve">3. Главному бухгалтеру отразить списание в бухгалтерском учёте и налоговом учёте за 2026 год, приложить акт инвентаризации и справку-обоснование.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2026-11-07T20:44:27Z</dcterms:created>
  <dcterms:modified xsi:type="dcterms:W3CDTF">2026-11-07T20:44:27Z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