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Место издания: 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fd611f88c0508416e1890f31d6ba059295fc202"/>
    <w:p>
      <w:pPr>
        <w:pStyle w:val="Heading2"/>
      </w:pPr>
      <w:r>
        <w:t xml:space="preserve">о наделении главного бухгалтера правом подписи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Наделить правом подписи ________________________________________________________________________________________________________________________</w:t>
      </w:r>
      <w:r>
        <w:t xml:space="preserve"> </w:t>
      </w:r>
      <w:r>
        <w:t xml:space="preserve">2. Установить, что ________________________________________________________________________________________________________________________________</w:t>
      </w:r>
      <w:r>
        <w:t xml:space="preserve"> </w:t>
      </w:r>
      <w:r>
        <w:t xml:space="preserve">3. Утвердить ______________________________________________________________________________________________________________________________________</w:t>
      </w:r>
      <w:r>
        <w:t xml:space="preserve"> </w:t>
      </w:r>
      <w:r>
        <w:t xml:space="preserve">4. Контроль за исполнением 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2026-11-04T20:34:49Z</dcterms:created>
  <dcterms:modified xsi:type="dcterms:W3CDTF">2026-11-04T20:34:49Z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