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Минтруда России от 24.01.2014 № 33н</w:t>
      </w:r>
    </w:p>
    <w:p>
      <w:pPr>
        <w:pStyle w:val="FirstParagraph"/>
      </w:pPr>
      <w:r>
        <w:t xml:space="preserve">Орган, издавший документ: 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приказ-минтруда-россии-от-24.01.2014-33н"/>
    <w:p>
      <w:pPr>
        <w:pStyle w:val="Heading1"/>
      </w:pPr>
      <w:r>
        <w:t xml:space="preserve">Приказ Минтруда России от 24.01.2014 № 33н</w:t>
      </w:r>
    </w:p>
    <w:bookmarkStart w:id="9" w:name="X1ad037f2cb88be29dfbda77c907f84921c8ac54"/>
    <w:p>
      <w:pPr>
        <w:pStyle w:val="Heading2"/>
      </w:pPr>
      <w:r>
        <w:t xml:space="preserve">Об утверждении Методики проведения специальной оценки условий труда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утверждается: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Вступление в силу: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24.01.2014 № 33н</dc:title>
  <dc:creator/>
  <dc:language>ru</dc:language>
  <cp:keywords/>
  <dcterms:created xsi:type="dcterms:W3CDTF">2026-11-03T20:36:01Z</dcterms:created>
  <dcterms:modified xsi:type="dcterms:W3CDTF">2026-11-03T20:36:01Z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