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невыплате-денежных-средств-по-договору"/>
    <w:p>
      <w:pPr>
        <w:pStyle w:val="Heading2"/>
      </w:pPr>
      <w:r>
        <w:t xml:space="preserve">о невыплате денежных средств по договору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ООО «Вектор» заключён договор поставки от 12 марта 2026 г. № 15/П. По условиям договора ООО «Ромашка» поставило товар по универсальному передаточному документу от 14 сентября 2026 г. № 318 на сумму 1 180 000 рублей, в том числе НДС 22 % — 212 786,89 рубля. Товар принят заказчиком без замечаний, что подтверждается подписью и печатью на документе.</w:t>
      </w:r>
    </w:p>
    <w:p>
      <w:pPr>
        <w:pStyle w:val="BodyText"/>
      </w:pPr>
      <w:r>
        <w:t xml:space="preserve">Срок оплаты по пункту 4.2 договора — 10 рабочих дней с даты приёмки товара, то есть до 28 сентября 2026 г. На 16 ноября 2026 г. оплата не поступила, задолженность составляет 1 180 000 рублей.</w:t>
      </w:r>
    </w:p>
    <w:p>
      <w:pPr>
        <w:pStyle w:val="BodyText"/>
      </w:pPr>
      <w:r>
        <w:t xml:space="preserve">На основании статьи 395 Гражданского кодекса РФ ООО «Ромашка» начисляет проценты за пользование чужими денежными средствами за период с 29 сентября 2026 г. по 16 ноября 2026 г. и требует уплатить их вместе с основным долгом.</w:t>
      </w:r>
    </w:p>
    <w:p>
      <w:pPr>
        <w:pStyle w:val="BodyText"/>
      </w:pPr>
      <w:r>
        <w:t xml:space="preserve">Прошу в течение 10 календарных дней с даты получения настоящей претензии перечислить 1 180 000 рублей основного долга и проценты по статье 395 ГК РФ на расчётный счёт ООО «Ромашка». Реквизиты указаны в договоре.</w:t>
      </w:r>
    </w:p>
    <w:p>
      <w:pPr>
        <w:pStyle w:val="BodyText"/>
      </w:pPr>
      <w:r>
        <w:t xml:space="preserve">Приложения: копия договора от 12 марта 2026 г. № 15/П на 4 л.; копия УПД от 14 сентября 2026 г. № 318 на 1 л.; расчёт процентов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 претензии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2026-11-04T20:34:40Z</dcterms:created>
  <dcterms:modified xsi:type="dcterms:W3CDTF">2026-11-04T20:34:40Z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