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123456, Москва, ул. Примерная, д. 1</w:t>
      </w:r>
    </w:p>
    <w:p>
      <w:pPr>
        <w:pStyle w:val="BodyText"/>
      </w:pPr>
      <w:r>
        <w:t xml:space="preserve">от ООО «Лютик»</w:t>
      </w:r>
    </w:p>
    <w:p>
      <w:pPr>
        <w:pStyle w:val="BodyText"/>
      </w:pPr>
      <w:r>
        <w:t xml:space="preserve">ИНН 7800000000, 190000, Санкт-Петербург, наб. Речная, д. 5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возмещении-убытков"/>
    <w:p>
      <w:pPr>
        <w:pStyle w:val="Heading2"/>
      </w:pPr>
      <w:r>
        <w:t xml:space="preserve">о возмещении убытков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«Лютик» (поставщик) и ООО «Ромашка» (покупатель) заключён договор поставки от 12 января 2026 г. № 4. По условиям договора поставщик обязался передать оборудование не позднее 1 июня 2026 г.</w:t>
      </w:r>
    </w:p>
    <w:p>
      <w:pPr>
        <w:pStyle w:val="BodyText"/>
      </w:pPr>
      <w:r>
        <w:t xml:space="preserve">Оборудование передано 20 июля 2026 г., с просрочкой 49 дней. Из-за задержки покупатель не запустил производственный участок и оплатил простой арендованного помещения и зарплату простаивавших работников. Убытки составили 480 000 рублей, что подтверждается актом простоя, расчётом и платёжными документами.</w:t>
      </w:r>
    </w:p>
    <w:p>
      <w:pPr>
        <w:pStyle w:val="BodyText"/>
      </w:pPr>
      <w:r>
        <w:t xml:space="preserve">На основании ст. 15, 393 ГК РФ и п. 7.2 договора прошу в срок до 18 декабря 2026 г. перечислить 480 000 рублей на расчётный счёт ООО «Ромашка». В случае отказа обращусь в арбитражный суд с требованием о взыскании убытков, процентов и судебных расходов.</w:t>
      </w:r>
    </w:p>
    <w:p>
      <w:pPr>
        <w:pStyle w:val="BodyText"/>
      </w:pPr>
      <w:r>
        <w:t xml:space="preserve">Приложение: договор поставки, товарная накладная, акт простоя, расчёт убытков, платёжные поручения — на 12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2026-11-03T20:35:54Z</dcterms:created>
  <dcterms:modified xsi:type="dcterms:W3CDTF">2026-11-03T20:35:54Z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