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Правила внутреннего трудового распорядка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Индивидуальный предприниматель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равила-внутреннего-трудового-распорядка"/>
    <w:p>
      <w:pPr>
        <w:pStyle w:val="Heading1"/>
      </w:pPr>
      <w:r>
        <w:t xml:space="preserve">Правила внутреннего трудового распорядка</w:t>
      </w:r>
    </w:p>
    <w:bookmarkStart w:id="9" w:name="индивидуального-предпринимателя"/>
    <w:p>
      <w:pPr>
        <w:pStyle w:val="Heading2"/>
      </w:pPr>
      <w:r>
        <w:t xml:space="preserve">индивидуального предпринимателя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Общие положения. Правила регулируют трудовые отношения между работодателем и работниками, принятыми по трудовым договорам.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Порядок приёма и увольнения.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Режим работы и отдыха.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Оплата труда.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Поощрения и взыскания.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Заключительные положения.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внутреннего трудового распорядка</dc:title>
  <dc:creator/>
  <dc:language>ru</dc:language>
  <cp:keywords/>
  <dcterms:created xsi:type="dcterms:W3CDTF">2026-11-06T21:57:12Z</dcterms:created>
  <dcterms:modified xsi:type="dcterms:W3CDTF">2026-11-06T21:57:12Z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