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внутреннем контроле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-внутреннем-контроле"/>
    <w:p>
      <w:pPr>
        <w:pStyle w:val="Heading1"/>
      </w:pPr>
      <w:r>
        <w:t xml:space="preserve">Положение о внутреннем контроле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Общие положения. 1.1. Настоящее Положение определяет порядок организации и осуществления внутреннего контроля за фактами хозяйственной жизни ООО «Ромашка» в соответствии со статьёй 19 Федерального закона от 06.12.2011 № 402-ФЗ «О бухгалтерском учёте».</w:t>
      </w:r>
    </w:p>
    <w:p>
      <w:pPr>
        <w:pStyle w:val="BodyText"/>
      </w:pPr>
      <w:r>
        <w:t xml:space="preserve">1.2. Внутренний контроль направлен на то, чтобы операции совершались в соответствии с учредительными документами и внутренними регламентами, а данные учёта и отчётности были достоверны.</w:t>
      </w:r>
    </w:p>
    <w:p>
      <w:pPr>
        <w:pStyle w:val="BodyText"/>
      </w:pPr>
      <w:r>
        <w:t xml:space="preserve">2. Субъекты контроля. 2.1. Субъектами внутреннего контроля являются генеральный директор, главный бухгалтер, руководители подразделений и комиссия по внутреннему контролю.</w:t>
      </w:r>
    </w:p>
    <w:p>
      <w:pPr>
        <w:pStyle w:val="BodyText"/>
      </w:pPr>
      <w:r>
        <w:t xml:space="preserve">2.2. Распределение обязанностей между субъектами контроля закрепляется в должностных инструкциях и приказе об утверждении настоящего Положения.</w:t>
      </w:r>
    </w:p>
    <w:p>
      <w:pPr>
        <w:pStyle w:val="BodyText"/>
      </w:pPr>
      <w:r>
        <w:t xml:space="preserve">3. Объекты контроля. 3.1. Контролю подлежат первичные учётные документы, регистры бухгалтерского учёта, бухгалтерская и налоговая отчётность, договоры, имущество и обязательства организации.</w:t>
      </w:r>
    </w:p>
    <w:p>
      <w:pPr>
        <w:pStyle w:val="BodyText"/>
      </w:pPr>
      <w:r>
        <w:t xml:space="preserve">4. Процедуры контроля. 4.1. Проверка первичных документов на полноту реквизитов и соответствие операции до её отражения в учёте. 4.2. Сверка данных регистров учёта с первичными документами. 4.3. Проверка отчётности перед подписанием.</w:t>
      </w:r>
    </w:p>
    <w:p>
      <w:pPr>
        <w:pStyle w:val="BodyText"/>
      </w:pPr>
      <w:r>
        <w:t xml:space="preserve">5. Заключительные положения. 5.1. Положение вступает в силу с даты утверждения и действует до замены новой редакцией. 5.2. Изменения в Положение вносятся приказом генерального директора.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внутреннем контроле</dc:title>
  <dc:creator/>
  <dc:language>ru</dc:language>
  <cp:keywords/>
  <dcterms:created xsi:type="dcterms:W3CDTF">2026-11-03T20:35:52Z</dcterms:created>
  <dcterms:modified xsi:type="dcterms:W3CDTF">2026-11-03T20:35:52Z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