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служебных произведениях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положение-о-служебных-произведениях"/>
    <w:p>
      <w:pPr>
        <w:pStyle w:val="Heading1"/>
      </w:pPr>
      <w:r>
        <w:t xml:space="preserve">Положение о служебных произведениях</w:t>
      </w:r>
    </w:p>
    <w:bookmarkStart w:id="9" w:name="локальный-нормативный-акт"/>
    <w:p>
      <w:pPr>
        <w:pStyle w:val="Heading2"/>
      </w:pPr>
      <w:r>
        <w:t xml:space="preserve">локальный нормативный акт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Что считается служебным произведением. 2.1.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создания и оформления. 3.1.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Права Работодателя и автора. 4.1.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Вознаграждение автора. 5.1.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Учёт и хранение. 6.1.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Заключительные положения. 7.1.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служебных произведениях</dc:title>
  <dc:creator/>
  <dc:language>ru</dc:language>
  <cp:keywords/>
  <dcterms:created xsi:type="dcterms:W3CDTF">2026-11-07T06:53:24Z</dcterms:created>
  <dcterms:modified xsi:type="dcterms:W3CDTF">2026-11-07T06:53:24Z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