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ремонте зданий и сооружений</w:t>
      </w:r>
    </w:p>
    <w:p>
      <w:pPr>
        <w:pStyle w:val="FirstParagraph"/>
      </w:pPr>
      <w:r>
        <w:t xml:space="preserve">Утверждено ______________________________</w:t>
      </w:r>
    </w:p>
    <w:p>
      <w:pPr>
        <w:pStyle w:val="BodyText"/>
      </w:pPr>
      <w:r>
        <w:t xml:space="preserve">«___» __________ 20__ г. № ____</w:t>
      </w:r>
    </w:p>
    <w:bookmarkStart w:id="10" w:name="положение-о-ремонте-зданий-и-сооружений"/>
    <w:p>
      <w:pPr>
        <w:pStyle w:val="Heading1"/>
      </w:pPr>
      <w:r>
        <w:t xml:space="preserve">Положение о ремонте зданий и сооружений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Общие положения: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Осмотр зданий: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Планирование ремонта: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Смета и подрядчик: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Приёмка работ: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Документы и хранение: 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ремонте зданий и сооружений</dc:title>
  <dc:creator/>
  <dc:language>ru</dc:language>
  <cp:keywords/>
  <dcterms:created xsi:type="dcterms:W3CDTF">2026-11-06T21:56:48Z</dcterms:created>
  <dcterms:modified xsi:type="dcterms:W3CDTF">2026-11-06T21:56:48Z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