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порядке расчётов с подотчётными лицами</w:t>
      </w:r>
    </w:p>
    <w:p>
      <w:pPr>
        <w:pStyle w:val="FirstParagraph"/>
      </w:pPr>
      <w:r>
        <w:t xml:space="preserve">УТВЕРЖДЕНО</w:t>
      </w:r>
    </w:p>
    <w:p>
      <w:pPr>
        <w:pStyle w:val="BodyText"/>
      </w:pPr>
      <w:r>
        <w:t xml:space="preserve">приказом ООО «Ромашка»</w:t>
      </w:r>
    </w:p>
    <w:p>
      <w:pPr>
        <w:pStyle w:val="BodyText"/>
      </w:pPr>
      <w:r>
        <w:t xml:space="preserve">от 12 января 2026 г. № 3</w:t>
      </w:r>
    </w:p>
    <w:bookmarkStart w:id="10" w:name="X3c995cb103dfe1602d2777f4d9df4bd377653c6"/>
    <w:p>
      <w:pPr>
        <w:pStyle w:val="Heading1"/>
      </w:pPr>
      <w:r>
        <w:t xml:space="preserve">Положение о порядке расчётов с подотчётными лицами</w:t>
      </w:r>
    </w:p>
    <w:bookmarkStart w:id="9" w:name="Xf6a23cf140bc2d18ac5b1d523072a1f8352ed44"/>
    <w:p>
      <w:pPr>
        <w:pStyle w:val="Heading2"/>
      </w:pPr>
      <w:r>
        <w:t xml:space="preserve">(утверждено приказом от «___» __________ 20__ г. № ____)</w:t>
      </w:r>
    </w:p>
    <w:p>
      <w:pPr>
        <w:pStyle w:val="FirstParagraph"/>
      </w:pPr>
      <w:r>
        <w:t xml:space="preserve">1. Общие положения. 1.1. Настоящее Положение устанавливает порядок выдачи денежных средств и денежных документов под отчёт, сроки представления авансовых отчётов и порядок расчётов по подотчётным суммам в ООО «Ромашка». 1.2. Положение разработано в соответствии с Указанием Банка России от 11.03.2014 № 3210-У.</w:t>
      </w:r>
    </w:p>
    <w:p>
      <w:pPr>
        <w:pStyle w:val="BodyText"/>
      </w:pPr>
      <w:r>
        <w:t xml:space="preserve">2. Кому выдают под отчёт. 2.1. Денежные средства под отчёт выдаются работникам организации, в том числе руководителю, а также физическим лицам, с которыми заключён гражданско-правовой договор. 2.2. Перечень работников, имеющих право получать подотчётные суммы, приведён в приложении 1 к Положению. 2.3. Задолженность по ранее выданным подотчётным суммам не препятствует очередной выдаче.</w:t>
      </w:r>
    </w:p>
    <w:p>
      <w:pPr>
        <w:pStyle w:val="BodyText"/>
      </w:pPr>
      <w:r>
        <w:t xml:space="preserve">3. Порядок выдачи. 3.1. Деньги под отчёт выдаются на основании заявления работника или распорядительного документа руководителя. В заявлении указывают сумму, срок и конкретные направления расходов. 3.2. Расчёты наличными с другими организациями и индивидуальными предпринимателями по одной сделке ограничены суммой 100 000 рублей.</w:t>
      </w:r>
    </w:p>
    <w:p>
      <w:pPr>
        <w:pStyle w:val="BodyText"/>
      </w:pPr>
      <w:r>
        <w:t xml:space="preserve">4. Авансовый отчёт. 4.1. Работник представляет авансовый отчёт в бухгалтерию в течение 10 рабочих дней со дня истечения срока, на который выданы деньги. 4.2. По возвращении из командировки авансовый отчёт представляется в течение 3 рабочих дней. 4.3. К отчёту прикладывают документы, подтверждающие расходы.</w:t>
      </w:r>
    </w:p>
    <w:p>
      <w:pPr>
        <w:pStyle w:val="BodyText"/>
      </w:pPr>
      <w:r>
        <w:t xml:space="preserve">5. Возврат остатка и удержание. 5.1. Неизрасходованный остаток работник возвращает в кассу в срок, установленный для представления авансового отчёта. 5.2. Если работник не вернул остаток в срок, организация вправе удержать его из заработной платы в порядке, установленном трудовым законодательством.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расчётов с подотчётными лицами</dc:title>
  <dc:creator/>
  <dc:language>ru</dc:language>
  <cp:keywords/>
  <dcterms:created xsi:type="dcterms:W3CDTF">2026-11-04T20:34:30Z</dcterms:created>
  <dcterms:modified xsi:type="dcterms:W3CDTF">2026-11-04T20:34:30Z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