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Положение о проверке контрагентов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Генеральный директор ООО «Ромашка»</w:t>
      </w:r>
    </w:p>
    <w:p>
      <w:pPr>
        <w:pStyle w:val="BodyText"/>
      </w:pPr>
      <w:r>
        <w:t xml:space="preserve">А. И. Петров</w:t>
      </w:r>
    </w:p>
    <w:p>
      <w:pPr>
        <w:pStyle w:val="BodyText"/>
      </w:pPr>
      <w:r>
        <w:t xml:space="preserve">«02» ноября 2026 г.</w:t>
      </w:r>
    </w:p>
    <w:bookmarkStart w:id="9" w:name="положение-о-проверке-контрагентов"/>
    <w:p>
      <w:pPr>
        <w:pStyle w:val="Heading1"/>
      </w:pPr>
      <w:r>
        <w:t xml:space="preserve">Положение о проверке контрагентов</w:t>
      </w:r>
    </w:p>
    <w:p>
      <w:pPr>
        <w:pStyle w:val="FirstParagraph"/>
      </w:pPr>
      <w:r>
        <w:t xml:space="preserve">02.11.2026 № 5-П</w:t>
      </w:r>
    </w:p>
    <w:p>
      <w:pPr>
        <w:pStyle w:val="BodyText"/>
      </w:pPr>
      <w:r>
        <w:t xml:space="preserve">1.1. Настоящее Положение определяет порядок проверки юридических лиц и индивидуальных предпринимателей, с которыми ООО «Ромашка» планирует заключать гражданско-правовые договоры (далее — контрагенты), и обязательно для всех работников компании.</w:t>
      </w:r>
    </w:p>
    <w:p>
      <w:pPr>
        <w:pStyle w:val="BodyText"/>
      </w:pPr>
      <w:r>
        <w:t xml:space="preserve">1.2. Цель проверки — проявить должную осмотрительность при выборе контрагента и снизить хозяйственные и налоговые риски компании.</w:t>
      </w:r>
    </w:p>
    <w:p>
      <w:pPr>
        <w:pStyle w:val="BodyText"/>
      </w:pPr>
      <w:r>
        <w:t xml:space="preserve">2.1. Объём проверки зависит от цены и предмета сделки. Для сделок до 300 000 рублей достаточно пассивной проверки: выписка из ЕГРЮЛ или ЕГРИП, проверка полномочий подписанта, отсутствие в реестрах дисквалифицированных лиц и в перечне организаций, в отношении которых применены меры по противодействию легализации доходов.</w:t>
      </w:r>
    </w:p>
    <w:p>
      <w:pPr>
        <w:pStyle w:val="BodyText"/>
      </w:pPr>
      <w:r>
        <w:t xml:space="preserve">2.2. Для сделок свыше 300 000 рублей дополнительно запрашиваются копии учредительных документов, бухгалтерская отчётность за последний отчётный год и подтверждение ресурсов для исполнения договора.</w:t>
      </w:r>
    </w:p>
    <w:p>
      <w:pPr>
        <w:pStyle w:val="BodyText"/>
      </w:pPr>
      <w:r>
        <w:t xml:space="preserve">2.3. Проверку проводит юридический департамент, финансовую проверку — бухгалтерия, итоговое заключение подписывает руководитель компании.</w:t>
      </w:r>
    </w:p>
    <w:p>
      <w:pPr>
        <w:pStyle w:val="BodyText"/>
      </w:pPr>
      <w:r>
        <w:t xml:space="preserve">3.1. На каждого контрагента формируется досье: результаты проверки, переписка, копии запрошенных документов и заключение. Досье хранится в течение срока действия договора и пяти лет после его окончания.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Разработал</w:t>
            </w:r>
          </w:p>
          <w:p>
            <w:pPr>
              <w:pStyle w:val="BodyText"/>
            </w:pPr>
            <w:r>
              <w:t xml:space="preserve">Начальник юридического отдела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М. М. Кузнецова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проверке контрагентов</dc:title>
  <dc:creator/>
  <dc:language>ru</dc:language>
  <cp:keywords/>
  <dcterms:created xsi:type="dcterms:W3CDTF">2026-11-04T20:34:29Z</dcterms:created>
  <dcterms:modified xsi:type="dcterms:W3CDTF">2026-11-04T20:34:29Z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