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премировании и депремировании работников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должность руководителя</w:t>
      </w:r>
    </w:p>
    <w:p>
      <w:pPr>
        <w:pStyle w:val="BodyText"/>
      </w:pPr>
      <w:r>
        <w:t xml:space="preserve">________________________________</w:t>
      </w:r>
    </w:p>
    <w:bookmarkStart w:id="10" w:name="X9f2cc00fb27a9f31f0aee562546e23de4fa6310"/>
    <w:p>
      <w:pPr>
        <w:pStyle w:val="Heading1"/>
      </w:pPr>
      <w:r>
        <w:t xml:space="preserve">Положение о премировании и депремировании работников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 Общие положения. 1.1.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Виды и показатели премирования. 2.1.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Размеры премий. 3.1.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начисления и выплаты. 4.1.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Депремирование. 5.1.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Заключительные положения. 6.1.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и депремировании работников</dc:title>
  <dc:creator/>
  <dc:language>ru</dc:language>
  <cp:keywords/>
  <dcterms:created xsi:type="dcterms:W3CDTF">2026-11-02T20:34:11Z</dcterms:created>
  <dcterms:modified xsi:type="dcterms:W3CDTF">2026-11-02T20:34:11Z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