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представительских расходах</w:t>
      </w:r>
    </w:p>
    <w:p>
      <w:pPr>
        <w:pStyle w:val="FirstParagraph"/>
      </w:pPr>
      <w:r>
        <w:t xml:space="preserve">УТВЕРЖДЕНО</w:t>
      </w:r>
    </w:p>
    <w:p>
      <w:pPr>
        <w:pStyle w:val="BodyText"/>
      </w:pPr>
      <w:r>
        <w:t xml:space="preserve">Приказом ООО «Ромашка»</w:t>
      </w:r>
    </w:p>
    <w:p>
      <w:pPr>
        <w:pStyle w:val="BodyText"/>
      </w:pPr>
      <w:r>
        <w:t xml:space="preserve">от 16 ноября 2026 г. № 14</w:t>
      </w:r>
    </w:p>
    <w:bookmarkStart w:id="10" w:name="положение-о-представительских-расходах"/>
    <w:p>
      <w:pPr>
        <w:pStyle w:val="Heading1"/>
      </w:pPr>
      <w:r>
        <w:t xml:space="preserve">Положение о представительских расходах</w:t>
      </w:r>
    </w:p>
    <w:bookmarkStart w:id="9" w:name="Xd38e1b5b580ac3df3cb4fbf85cc2ffb972549f6"/>
    <w:p>
      <w:pPr>
        <w:pStyle w:val="Heading2"/>
      </w:pPr>
      <w:r>
        <w:t xml:space="preserve">о порядке планирования, согласования и подтверждения представительских расходов</w:t>
      </w:r>
    </w:p>
    <w:p>
      <w:pPr>
        <w:pStyle w:val="FirstParagraph"/>
      </w:pPr>
      <w:r>
        <w:t xml:space="preserve">16 ноября 2026 г. № 14</w:t>
      </w:r>
    </w:p>
    <w:p>
      <w:pPr>
        <w:pStyle w:val="BodyText"/>
      </w:pPr>
      <w:r>
        <w:t xml:space="preserve">1. Общие положения</w:t>
      </w:r>
    </w:p>
    <w:p>
      <w:pPr>
        <w:pStyle w:val="BodyText"/>
      </w:pPr>
      <w:r>
        <w:t xml:space="preserve">1.1. Настоящее Положение определяет порядок планирования, согласования, документального подтверждения и учёта представительских расходов ООО «Ромашка» в целях налога на прибыль организаций.</w:t>
      </w:r>
    </w:p>
    <w:p>
      <w:pPr>
        <w:pStyle w:val="BodyText"/>
      </w:pPr>
      <w:r>
        <w:t xml:space="preserve">1.2. Представительские расходы — затраты на официальный приём и обслуживание представителей других организаций, участвующих в переговорах, а также участников, прибывших на заседания совета директоров или ревизионной комиссии.</w:t>
      </w:r>
    </w:p>
    <w:p>
      <w:pPr>
        <w:pStyle w:val="BodyText"/>
      </w:pPr>
      <w:r>
        <w:t xml:space="preserve">2. Перечень представительских расходов</w:t>
      </w:r>
    </w:p>
    <w:p>
      <w:pPr>
        <w:pStyle w:val="BodyText"/>
      </w:pPr>
      <w:r>
        <w:t xml:space="preserve">2.1. К представительским расходам относятся: проведение официального приёма (завтрак, обед или иное аналогичное мероприятие) для представителей контрагентов; транспортное обеспечение доставки этих лиц к месту мероприятия и обратно; буфетное обслуживание во время переговоров; оплата услуг переводчиков, не состоящих в штате организации.</w:t>
      </w:r>
    </w:p>
    <w:p>
      <w:pPr>
        <w:pStyle w:val="BodyText"/>
      </w:pPr>
      <w:r>
        <w:t xml:space="preserve">2.2. Не относятся к представительским расходам: организация развлечений, отдыха, профилактики или лечения заболеваний; оплата питания сотрудников вне официального приёма и без связи с представительским мероприятием; приобретение алкогольной продукции, если она не связана с официальным приёмом; расходы на поездки работников, не связанные с переговорами.</w:t>
      </w:r>
    </w:p>
    <w:p>
      <w:pPr>
        <w:pStyle w:val="BodyText"/>
      </w:pPr>
      <w:r>
        <w:t xml:space="preserve">3. Лимит и порядок учёта</w:t>
      </w:r>
    </w:p>
    <w:p>
      <w:pPr>
        <w:pStyle w:val="BodyText"/>
      </w:pPr>
      <w:r>
        <w:t xml:space="preserve">3.1. Представительские расходы включаются в состав прочих расходов в размере, не превышающем 4 процентов от расходов на оплату труда за отчётный (налоговый) период (п. 2 ст. 264 НК РФ).</w:t>
      </w:r>
    </w:p>
    <w:p>
      <w:pPr>
        <w:pStyle w:val="BodyText"/>
      </w:pPr>
      <w:r>
        <w:t xml:space="preserve">3.2. Расходы признаются в том отчётном периоде, к которому они относятся, при наличии первичных документов и документов, подтверждающих деловую цель мероприятия.</w:t>
      </w:r>
    </w:p>
    <w:p>
      <w:pPr>
        <w:pStyle w:val="BodyText"/>
      </w:pPr>
      <w:r>
        <w:t xml:space="preserve">4. Порядок согласования и подтверждения</w:t>
      </w:r>
    </w:p>
    <w:p>
      <w:pPr>
        <w:pStyle w:val="BodyText"/>
      </w:pPr>
      <w:r>
        <w:t xml:space="preserve">4.1. Инициатор мероприятия оформляет служебную записку с указанием цели, даты, места, состава участников и планируемой суммы. Служебную записку согласовывает руководитель подразделения, затем финансовый директор, окончательное решение принимает генеральный директор.</w:t>
      </w:r>
    </w:p>
    <w:p>
      <w:pPr>
        <w:pStyle w:val="BodyText"/>
      </w:pPr>
      <w:r>
        <w:t xml:space="preserve">4.2. После мероприятия инициатор представляет в бухгалтерию: утверждённую программу встречи, список участников с указанием должностей и организаций, акт об оказании услуг или чек, документы об оплате. Бухгалтерия проверяет наличие обязательных реквизитов и соответствие лимиту.</w:t>
      </w:r>
    </w:p>
    <w:p>
      <w:pPr>
        <w:pStyle w:val="BodyText"/>
      </w:pPr>
      <w:r>
        <w:t xml:space="preserve">4.3. Если в мероприятии участвуют сотрудники организации, их участие в деловых встречах должно быть предусмотрено трудовым договором или должностной инструкцией. При отсутствии такого условия стоимость питания и проезда может быть признана доходом работника в натуральной форме.</w:t>
      </w:r>
    </w:p>
    <w:p>
      <w:pPr>
        <w:pStyle w:val="BodyText"/>
      </w:pPr>
      <w:r>
        <w:t xml:space="preserve">5. Ответственность</w:t>
      </w:r>
    </w:p>
    <w:p>
      <w:pPr>
        <w:pStyle w:val="BodyText"/>
      </w:pPr>
      <w:r>
        <w:t xml:space="preserve">5.1. Контроль за соблюдением Положения возлагается на финансового директора. Инициатор мероприятия несёт ответственность за достоверность представленных документов и соответствие расходов целям, указанным в служебной записке.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представительских расходах</dc:title>
  <dc:creator/>
  <dc:language>ru</dc:language>
  <cp:keywords/>
  <dcterms:created xsi:type="dcterms:W3CDTF">2026-11-06T21:56:37Z</dcterms:created>
  <dcterms:modified xsi:type="dcterms:W3CDTF">2026-11-06T21:56:37Z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