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представительских расходах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положение-о-представительских-расходах"/>
    <w:p>
      <w:pPr>
        <w:pStyle w:val="Heading1"/>
      </w:pPr>
      <w:r>
        <w:t xml:space="preserve">Положение о представительских расходах</w:t>
      </w:r>
    </w:p>
    <w:bookmarkStart w:id="9" w:name="Xd38e1b5b580ac3df3cb4fbf85cc2ffb972549f6"/>
    <w:p>
      <w:pPr>
        <w:pStyle w:val="Heading2"/>
      </w:pPr>
      <w:r>
        <w:t xml:space="preserve">о порядке планирования, согласования и подтверждения представительских расходов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Перечень представительских расходов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Лимит и порядок учёта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согласования и подтверждения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</w:t>
      </w:r>
    </w:p>
    <w:p>
      <w:pPr>
        <w:pStyle w:val="BodyText"/>
      </w:pPr>
      <w:r>
        <w:t xml:space="preserve">5.1.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представительских расходах</dc:title>
  <dc:creator/>
  <dc:language>ru</dc:language>
  <cp:keywords/>
  <dcterms:created xsi:type="dcterms:W3CDTF">2026-11-06T21:56:37Z</dcterms:created>
  <dcterms:modified xsi:type="dcterms:W3CDTF">2026-11-06T21:56:37Z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