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порядке сбора и утилизации ртутьсодержащих ламп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«___» __________ 20__ г.</w:t>
      </w:r>
    </w:p>
    <w:bookmarkStart w:id="9" w:name="Xec2b1ba30826a4b65aafeccef349c10e44c2830"/>
    <w:p>
      <w:pPr>
        <w:pStyle w:val="Heading1"/>
      </w:pPr>
      <w:r>
        <w:t xml:space="preserve">Положение о порядке сбора и утилизации ртутьсодержащих ламп</w:t>
      </w:r>
    </w:p>
    <w:p>
      <w:pPr>
        <w:pStyle w:val="FirstParagraph"/>
      </w:pPr>
      <w:r>
        <w:t xml:space="preserve">1. Общие положения</w:t>
      </w:r>
    </w:p>
    <w:p>
      <w:pPr>
        <w:pStyle w:val="BodyText"/>
      </w:pPr>
      <w:r>
        <w:t xml:space="preserve">1.1.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1.2.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1.3.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Места накопления ртутьсодержащих ламп</w:t>
      </w:r>
    </w:p>
    <w:p>
      <w:pPr>
        <w:pStyle w:val="BodyText"/>
      </w:pPr>
      <w:r>
        <w:t xml:space="preserve">2.1.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2.2.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2.3.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2.4.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Сбор и учёт</w:t>
      </w:r>
    </w:p>
    <w:p>
      <w:pPr>
        <w:pStyle w:val="BodyText"/>
      </w:pPr>
      <w:r>
        <w:t xml:space="preserve">3.1.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3.2.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3.3.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Передача на утилизацию и обезвреживание</w:t>
      </w:r>
    </w:p>
    <w:p>
      <w:pPr>
        <w:pStyle w:val="BodyText"/>
      </w:pPr>
      <w:r>
        <w:t xml:space="preserve">4.1.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4.2.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4.3.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Ответственность</w:t>
      </w:r>
    </w:p>
    <w:p>
      <w:pPr>
        <w:pStyle w:val="BodyText"/>
      </w:pPr>
      <w:r>
        <w:t xml:space="preserve">5.1.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5.2.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обращение с ртутьсодержащими лампами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порядке сбора и утилизации ртутьсодержащих ламп</dc:title>
  <dc:creator/>
  <dc:language>ru</dc:language>
  <cp:keywords/>
  <dcterms:created xsi:type="dcterms:W3CDTF">2026-11-07T20:43:30Z</dcterms:created>
  <dcterms:modified xsi:type="dcterms:W3CDTF">2026-11-07T20:43:30Z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