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платных услугах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20 ноября 2026 г.</w:t>
      </w:r>
    </w:p>
    <w:bookmarkStart w:id="10" w:name="положение-о-платных-услугах"/>
    <w:p>
      <w:pPr>
        <w:pStyle w:val="Heading1"/>
      </w:pPr>
      <w:r>
        <w:t xml:space="preserve">Положение о платных услугах</w:t>
      </w:r>
    </w:p>
    <w:bookmarkStart w:id="9" w:name="ооо-ромашка"/>
    <w:p>
      <w:pPr>
        <w:pStyle w:val="Heading2"/>
      </w:pPr>
      <w:r>
        <w:t xml:space="preserve">ООО «Ромашка»</w:t>
      </w:r>
    </w:p>
    <w:p>
      <w:pPr>
        <w:pStyle w:val="FirstParagraph"/>
      </w:pPr>
      <w:r>
        <w:t xml:space="preserve">20 ноября 2026 г. № 12</w:t>
      </w:r>
    </w:p>
    <w:p>
      <w:pPr>
        <w:pStyle w:val="BodyText"/>
      </w:pPr>
      <w:r>
        <w:t xml:space="preserve">1. Общие положения. 1.1. Настоящее Положение определяет порядок оказания ООО «Ромашка» платных услуг физическим и юридическим лицам, формирования цен, заключения договоров и расчётов с заказчиками. 1.2. Положение разработано в соответствии с Гражданским кодексом Российской Федерации (глава 39) и Законом Российской Федерации от 07.02.1992 № 2300-1 «О защите прав потребителей». 1.3. Платные услуги оказываются в пределах видов деятельности, указанных в уставе общества и в лицензиях, если для услуги лицензия требуется.</w:t>
      </w:r>
    </w:p>
    <w:p>
      <w:pPr>
        <w:pStyle w:val="BodyText"/>
      </w:pPr>
      <w:r>
        <w:t xml:space="preserve">2. Перечень платных услуг. 2.1. Общество оказывает платные услуги по перечню, приведённому в приложении 1 к настоящему Положению. 2.2. Перечень услуг и цены пересматриваются не реже одного раза в год и утверждаются приказом генерального директора.</w:t>
      </w:r>
    </w:p>
    <w:p>
      <w:pPr>
        <w:pStyle w:val="BodyText"/>
      </w:pPr>
      <w:r>
        <w:t xml:space="preserve">3. Порядок определения цен. 3.1. Цены на услуги определяются расчётным путём исходя из затрат на оказание услуги и утверждаются приказом генерального директора. 3.2. Прейскурант доводится до заказчика до заключения договора: размещается на сайте общества и на информационном стенде в офисе.</w:t>
      </w:r>
    </w:p>
    <w:p>
      <w:pPr>
        <w:pStyle w:val="BodyText"/>
      </w:pPr>
      <w:r>
        <w:t xml:space="preserve">4. Порядок заключения договора и оплаты. 4.1. Платные услуги оказываются на основании договора, заключённого в письменной форме. 4.2. Заказчик оплачивает услуги на условиях предоплаты в размере 100 процентов, если в договоре не предусмотрено иное. 4.3. Оплата принимается безналичным перечислением на расчётный счёт общества; факт оплаты подтверждается платёжным документом.</w:t>
      </w:r>
    </w:p>
    <w:p>
      <w:pPr>
        <w:pStyle w:val="BodyText"/>
      </w:pPr>
      <w:r>
        <w:t xml:space="preserve">5. Порядок изменения и расторжения договора, возврата средств. 5.1. Заказчик вправе отказаться от услуги в любое время, возместив обществу фактически понесённые расходы. 5.2. Возврат средств производится на счёт заказчика в течение 10 рабочих дней с даты получения заявления. 5.3. Претензии по качеству услуги рассматриваются в течение 10 календарных дней с даты получения.</w:t>
      </w:r>
    </w:p>
    <w:p>
      <w:pPr>
        <w:pStyle w:val="BodyText"/>
      </w:pPr>
      <w:r>
        <w:t xml:space="preserve">6. Заключительные положения. 6.1. Положение вступает в силу с даты утверждения и действует до замены новой редакцией. 6.2. Изменения в Положение вносятся приказом генерального директора.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Утверждающий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платных услугах</dc:title>
  <dc:creator/>
  <dc:language>ru</dc:language>
  <cp:keywords/>
  <dcterms:created xsi:type="dcterms:W3CDTF">2026-11-07T20:43:28Z</dcterms:created>
  <dcterms:modified xsi:type="dcterms:W3CDTF">2026-11-07T20:43:28Z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